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7C" w:rsidRPr="00824688" w:rsidRDefault="008E7C7C" w:rsidP="00F83DFA">
      <w:pPr>
        <w:jc w:val="both"/>
        <w:rPr>
          <w:sz w:val="20"/>
          <w:szCs w:val="20"/>
          <w:lang w:val="uk-UA"/>
        </w:rPr>
      </w:pPr>
      <w:r>
        <w:rPr>
          <w:sz w:val="20"/>
          <w:szCs w:val="20"/>
          <w:lang w:val="uk-UA"/>
        </w:rPr>
        <w:t xml:space="preserve">                 </w:t>
      </w:r>
      <w:r w:rsidRPr="00824688">
        <w:rPr>
          <w:sz w:val="20"/>
          <w:szCs w:val="20"/>
          <w:lang w:val="uk-UA"/>
        </w:rPr>
        <w:t>Додаток № 1</w:t>
      </w:r>
    </w:p>
    <w:p w:rsidR="008E7C7C" w:rsidRPr="00824688" w:rsidRDefault="008E7C7C" w:rsidP="00824688">
      <w:pPr>
        <w:ind w:left="12036"/>
        <w:jc w:val="both"/>
        <w:rPr>
          <w:sz w:val="20"/>
          <w:szCs w:val="20"/>
          <w:lang w:val="uk-UA"/>
        </w:rPr>
      </w:pPr>
      <w:r w:rsidRPr="00824688">
        <w:rPr>
          <w:sz w:val="20"/>
          <w:szCs w:val="20"/>
          <w:lang w:val="uk-UA"/>
        </w:rPr>
        <w:t>до наказу УОЗ ВК РМР</w:t>
      </w:r>
    </w:p>
    <w:p w:rsidR="008E7C7C" w:rsidRDefault="008E7C7C" w:rsidP="00824688">
      <w:pPr>
        <w:ind w:left="12036"/>
        <w:jc w:val="both"/>
        <w:rPr>
          <w:sz w:val="20"/>
          <w:szCs w:val="20"/>
          <w:u w:val="single"/>
          <w:lang w:val="uk-UA"/>
        </w:rPr>
      </w:pPr>
      <w:r w:rsidRPr="00824688">
        <w:rPr>
          <w:sz w:val="20"/>
          <w:szCs w:val="20"/>
          <w:lang w:val="uk-UA"/>
        </w:rPr>
        <w:t xml:space="preserve">від </w:t>
      </w:r>
      <w:r w:rsidRPr="00824688">
        <w:rPr>
          <w:sz w:val="20"/>
          <w:szCs w:val="20"/>
          <w:u w:val="single"/>
          <w:lang w:val="uk-UA"/>
        </w:rPr>
        <w:t xml:space="preserve">07.12.2022р. </w:t>
      </w:r>
      <w:r w:rsidRPr="00824688">
        <w:rPr>
          <w:sz w:val="20"/>
          <w:szCs w:val="20"/>
          <w:lang w:val="uk-UA"/>
        </w:rPr>
        <w:t>№</w:t>
      </w:r>
      <w:r w:rsidRPr="00824688">
        <w:rPr>
          <w:sz w:val="20"/>
          <w:szCs w:val="20"/>
          <w:u w:val="single"/>
          <w:lang w:val="uk-UA"/>
        </w:rPr>
        <w:t xml:space="preserve"> 170</w:t>
      </w:r>
    </w:p>
    <w:p w:rsidR="008E7C7C" w:rsidRDefault="008E7C7C" w:rsidP="00824688">
      <w:pPr>
        <w:jc w:val="both"/>
        <w:rPr>
          <w:sz w:val="26"/>
          <w:szCs w:val="26"/>
          <w:lang w:val="uk-UA"/>
        </w:rPr>
      </w:pPr>
    </w:p>
    <w:p w:rsidR="008E7C7C" w:rsidRDefault="008E7C7C" w:rsidP="00824688">
      <w:pPr>
        <w:jc w:val="center"/>
        <w:rPr>
          <w:b/>
          <w:sz w:val="26"/>
          <w:szCs w:val="26"/>
          <w:lang w:val="uk-UA"/>
        </w:rPr>
      </w:pPr>
      <w:r w:rsidRPr="00824688">
        <w:rPr>
          <w:b/>
          <w:sz w:val="26"/>
          <w:szCs w:val="26"/>
          <w:lang w:val="uk-UA"/>
        </w:rPr>
        <w:t>Звіт про виконання завдань та заходів міської програми «Здоров'я громади» на 2023 – 2027 роки</w:t>
      </w:r>
    </w:p>
    <w:p w:rsidR="008E7C7C" w:rsidRPr="00824688" w:rsidRDefault="008E7C7C" w:rsidP="00824688">
      <w:pPr>
        <w:jc w:val="center"/>
        <w:rPr>
          <w:b/>
          <w:sz w:val="26"/>
          <w:szCs w:val="26"/>
          <w:lang w:val="uk-UA"/>
        </w:rPr>
      </w:pPr>
      <w:r>
        <w:rPr>
          <w:b/>
          <w:sz w:val="26"/>
          <w:szCs w:val="26"/>
          <w:lang w:val="uk-UA"/>
        </w:rPr>
        <w:t xml:space="preserve">за </w:t>
      </w:r>
      <w:r>
        <w:rPr>
          <w:b/>
          <w:sz w:val="26"/>
          <w:szCs w:val="26"/>
          <w:lang w:val="en-US"/>
        </w:rPr>
        <w:t>I</w:t>
      </w:r>
      <w:r>
        <w:rPr>
          <w:b/>
          <w:sz w:val="26"/>
          <w:szCs w:val="26"/>
          <w:lang w:val="uk-UA"/>
        </w:rPr>
        <w:t xml:space="preserve"> квартал  2024 року</w:t>
      </w:r>
    </w:p>
    <w:p w:rsidR="008E7C7C" w:rsidRPr="0048749F" w:rsidRDefault="008E7C7C" w:rsidP="005F33F8">
      <w:pPr>
        <w:jc w:val="right"/>
        <w:rPr>
          <w:sz w:val="26"/>
          <w:szCs w:val="26"/>
          <w:lang w:val="uk-UA"/>
        </w:rPr>
      </w:pPr>
      <w:r w:rsidRPr="00C22243">
        <w:rPr>
          <w:szCs w:val="28"/>
        </w:rPr>
        <w:t>Станом на</w:t>
      </w:r>
      <w:r>
        <w:rPr>
          <w:szCs w:val="28"/>
          <w:lang w:val="uk-UA"/>
        </w:rPr>
        <w:t xml:space="preserve"> 30</w:t>
      </w:r>
      <w:r w:rsidRPr="00C22243">
        <w:rPr>
          <w:szCs w:val="28"/>
        </w:rPr>
        <w:t>.</w:t>
      </w:r>
      <w:r>
        <w:rPr>
          <w:szCs w:val="28"/>
          <w:lang w:val="uk-UA"/>
        </w:rPr>
        <w:t>06</w:t>
      </w:r>
      <w:r w:rsidRPr="00C22243">
        <w:rPr>
          <w:szCs w:val="28"/>
        </w:rPr>
        <w:t>.202</w:t>
      </w:r>
      <w:r>
        <w:rPr>
          <w:szCs w:val="28"/>
          <w:lang w:val="uk-UA"/>
        </w:rPr>
        <w:t>4</w:t>
      </w:r>
    </w:p>
    <w:p w:rsidR="008E7C7C" w:rsidRDefault="008E7C7C" w:rsidP="00824688">
      <w:pPr>
        <w:jc w:val="center"/>
        <w:rPr>
          <w:b/>
          <w:sz w:val="26"/>
          <w:szCs w:val="26"/>
          <w:lang w:val="uk-UA"/>
        </w:rPr>
      </w:pPr>
      <w:r w:rsidRPr="00824688">
        <w:rPr>
          <w:b/>
          <w:sz w:val="26"/>
          <w:szCs w:val="26"/>
          <w:lang w:val="uk-UA"/>
        </w:rPr>
        <w:t>ЗАВДАННЯ ТА ЗАХОДИ ПРОГРАМИ</w:t>
      </w:r>
    </w:p>
    <w:tbl>
      <w:tblPr>
        <w:tblW w:w="162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620"/>
        <w:gridCol w:w="540"/>
        <w:gridCol w:w="2520"/>
        <w:gridCol w:w="2880"/>
        <w:gridCol w:w="2160"/>
        <w:gridCol w:w="5940"/>
      </w:tblGrid>
      <w:tr w:rsidR="008E7C7C" w:rsidRPr="00C74D61" w:rsidTr="00C74D61">
        <w:tc>
          <w:tcPr>
            <w:tcW w:w="540" w:type="dxa"/>
          </w:tcPr>
          <w:p w:rsidR="008E7C7C" w:rsidRPr="00C74D61" w:rsidRDefault="008E7C7C" w:rsidP="00C74D61">
            <w:pPr>
              <w:jc w:val="center"/>
              <w:rPr>
                <w:sz w:val="20"/>
                <w:szCs w:val="20"/>
                <w:lang w:val="uk-UA"/>
              </w:rPr>
            </w:pPr>
            <w:r w:rsidRPr="00C74D61">
              <w:rPr>
                <w:sz w:val="20"/>
                <w:szCs w:val="20"/>
                <w:lang w:val="uk-UA"/>
              </w:rPr>
              <w:t>№ з/п</w:t>
            </w:r>
          </w:p>
        </w:tc>
        <w:tc>
          <w:tcPr>
            <w:tcW w:w="1620" w:type="dxa"/>
          </w:tcPr>
          <w:p w:rsidR="008E7C7C" w:rsidRPr="00C74D61" w:rsidRDefault="008E7C7C" w:rsidP="00C74D61">
            <w:pPr>
              <w:jc w:val="center"/>
              <w:rPr>
                <w:sz w:val="20"/>
                <w:szCs w:val="20"/>
                <w:lang w:val="uk-UA"/>
              </w:rPr>
            </w:pPr>
            <w:r w:rsidRPr="00C74D61">
              <w:rPr>
                <w:sz w:val="20"/>
                <w:szCs w:val="20"/>
                <w:lang w:val="uk-UA"/>
              </w:rPr>
              <w:t>Найменування завдання</w:t>
            </w:r>
          </w:p>
        </w:tc>
        <w:tc>
          <w:tcPr>
            <w:tcW w:w="3060" w:type="dxa"/>
            <w:gridSpan w:val="2"/>
          </w:tcPr>
          <w:p w:rsidR="008E7C7C" w:rsidRPr="00C74D61" w:rsidRDefault="008E7C7C" w:rsidP="00C74D61">
            <w:pPr>
              <w:jc w:val="center"/>
              <w:rPr>
                <w:sz w:val="20"/>
                <w:szCs w:val="20"/>
                <w:lang w:val="uk-UA"/>
              </w:rPr>
            </w:pPr>
            <w:r w:rsidRPr="00C74D61">
              <w:rPr>
                <w:sz w:val="20"/>
                <w:szCs w:val="20"/>
                <w:lang w:val="uk-UA"/>
              </w:rPr>
              <w:t>Найменування заходу</w:t>
            </w:r>
          </w:p>
        </w:tc>
        <w:tc>
          <w:tcPr>
            <w:tcW w:w="2880" w:type="dxa"/>
          </w:tcPr>
          <w:p w:rsidR="008E7C7C" w:rsidRPr="00C74D61" w:rsidRDefault="008E7C7C" w:rsidP="00C74D61">
            <w:pPr>
              <w:jc w:val="center"/>
              <w:rPr>
                <w:sz w:val="20"/>
                <w:szCs w:val="20"/>
                <w:lang w:val="uk-UA"/>
              </w:rPr>
            </w:pPr>
            <w:r w:rsidRPr="00C74D61">
              <w:rPr>
                <w:sz w:val="20"/>
                <w:szCs w:val="20"/>
                <w:lang w:val="uk-UA"/>
              </w:rPr>
              <w:t>Виконавці</w:t>
            </w:r>
          </w:p>
        </w:tc>
        <w:tc>
          <w:tcPr>
            <w:tcW w:w="2160" w:type="dxa"/>
          </w:tcPr>
          <w:p w:rsidR="008E7C7C" w:rsidRPr="00C74D61" w:rsidRDefault="008E7C7C" w:rsidP="00C74D61">
            <w:pPr>
              <w:jc w:val="center"/>
              <w:rPr>
                <w:sz w:val="20"/>
                <w:szCs w:val="20"/>
                <w:lang w:val="uk-UA"/>
              </w:rPr>
            </w:pPr>
            <w:r w:rsidRPr="00C74D61">
              <w:rPr>
                <w:sz w:val="20"/>
                <w:szCs w:val="20"/>
                <w:lang w:val="uk-UA"/>
              </w:rPr>
              <w:t>Результативні показники програми</w:t>
            </w:r>
          </w:p>
        </w:tc>
        <w:tc>
          <w:tcPr>
            <w:tcW w:w="5940" w:type="dxa"/>
          </w:tcPr>
          <w:p w:rsidR="008E7C7C" w:rsidRPr="00C74D61" w:rsidRDefault="008E7C7C" w:rsidP="00C74D61">
            <w:pPr>
              <w:jc w:val="center"/>
              <w:rPr>
                <w:sz w:val="20"/>
                <w:szCs w:val="20"/>
                <w:lang w:val="uk-UA"/>
              </w:rPr>
            </w:pPr>
            <w:r w:rsidRPr="00C74D61">
              <w:rPr>
                <w:sz w:val="20"/>
                <w:szCs w:val="20"/>
                <w:lang w:val="uk-UA"/>
              </w:rPr>
              <w:t>Текстовий звіт по пунктах Програми</w:t>
            </w:r>
          </w:p>
        </w:tc>
      </w:tr>
      <w:tr w:rsidR="008E7C7C" w:rsidRPr="00C74D61" w:rsidTr="00C74D61">
        <w:tc>
          <w:tcPr>
            <w:tcW w:w="540" w:type="dxa"/>
            <w:vAlign w:val="center"/>
          </w:tcPr>
          <w:p w:rsidR="008E7C7C" w:rsidRPr="00C74D61" w:rsidRDefault="008E7C7C" w:rsidP="00C74D61">
            <w:pPr>
              <w:jc w:val="center"/>
              <w:rPr>
                <w:b/>
                <w:bCs/>
                <w:i/>
                <w:color w:val="000000"/>
                <w:sz w:val="20"/>
                <w:szCs w:val="20"/>
                <w:lang w:val="uk-UA"/>
              </w:rPr>
            </w:pPr>
            <w:r w:rsidRPr="00C74D61">
              <w:rPr>
                <w:b/>
                <w:bCs/>
                <w:i/>
                <w:color w:val="000000"/>
                <w:sz w:val="20"/>
                <w:szCs w:val="20"/>
                <w:lang w:val="uk-UA"/>
              </w:rPr>
              <w:t>1</w:t>
            </w:r>
          </w:p>
        </w:tc>
        <w:tc>
          <w:tcPr>
            <w:tcW w:w="1620" w:type="dxa"/>
            <w:vAlign w:val="center"/>
          </w:tcPr>
          <w:p w:rsidR="008E7C7C" w:rsidRPr="00C74D61" w:rsidRDefault="008E7C7C" w:rsidP="00C74D61">
            <w:pPr>
              <w:jc w:val="center"/>
              <w:rPr>
                <w:i/>
                <w:color w:val="000000"/>
                <w:sz w:val="20"/>
                <w:szCs w:val="20"/>
                <w:lang w:val="uk-UA"/>
              </w:rPr>
            </w:pPr>
            <w:r w:rsidRPr="00C74D61">
              <w:rPr>
                <w:i/>
                <w:color w:val="000000"/>
                <w:sz w:val="20"/>
                <w:szCs w:val="20"/>
                <w:lang w:val="uk-UA"/>
              </w:rPr>
              <w:t>2</w:t>
            </w:r>
          </w:p>
        </w:tc>
        <w:tc>
          <w:tcPr>
            <w:tcW w:w="540" w:type="dxa"/>
          </w:tcPr>
          <w:p w:rsidR="008E7C7C" w:rsidRPr="00C74D61" w:rsidRDefault="008E7C7C" w:rsidP="00C74D61">
            <w:pPr>
              <w:jc w:val="center"/>
              <w:rPr>
                <w:i/>
                <w:sz w:val="20"/>
                <w:szCs w:val="20"/>
                <w:lang w:val="uk-UA"/>
              </w:rPr>
            </w:pPr>
            <w:r w:rsidRPr="00C74D61">
              <w:rPr>
                <w:i/>
                <w:sz w:val="20"/>
                <w:szCs w:val="20"/>
                <w:lang w:val="uk-UA"/>
              </w:rPr>
              <w:t>3</w:t>
            </w:r>
          </w:p>
        </w:tc>
        <w:tc>
          <w:tcPr>
            <w:tcW w:w="2520" w:type="dxa"/>
          </w:tcPr>
          <w:p w:rsidR="008E7C7C" w:rsidRPr="00C74D61" w:rsidRDefault="008E7C7C" w:rsidP="00C74D61">
            <w:pPr>
              <w:jc w:val="center"/>
              <w:rPr>
                <w:i/>
                <w:sz w:val="20"/>
                <w:szCs w:val="20"/>
                <w:lang w:val="uk-UA"/>
              </w:rPr>
            </w:pPr>
            <w:r w:rsidRPr="00C74D61">
              <w:rPr>
                <w:i/>
                <w:sz w:val="20"/>
                <w:szCs w:val="20"/>
                <w:lang w:val="uk-UA"/>
              </w:rPr>
              <w:t>4</w:t>
            </w:r>
          </w:p>
        </w:tc>
        <w:tc>
          <w:tcPr>
            <w:tcW w:w="2880" w:type="dxa"/>
          </w:tcPr>
          <w:p w:rsidR="008E7C7C" w:rsidRPr="00C74D61" w:rsidRDefault="008E7C7C" w:rsidP="00C74D61">
            <w:pPr>
              <w:jc w:val="center"/>
              <w:rPr>
                <w:i/>
                <w:sz w:val="20"/>
                <w:szCs w:val="20"/>
                <w:lang w:val="uk-UA"/>
              </w:rPr>
            </w:pPr>
            <w:r w:rsidRPr="00C74D61">
              <w:rPr>
                <w:i/>
                <w:sz w:val="20"/>
                <w:szCs w:val="20"/>
                <w:lang w:val="uk-UA"/>
              </w:rPr>
              <w:t>5</w:t>
            </w:r>
          </w:p>
        </w:tc>
        <w:tc>
          <w:tcPr>
            <w:tcW w:w="2160" w:type="dxa"/>
          </w:tcPr>
          <w:p w:rsidR="008E7C7C" w:rsidRPr="00C74D61" w:rsidRDefault="008E7C7C" w:rsidP="00C74D61">
            <w:pPr>
              <w:jc w:val="center"/>
              <w:rPr>
                <w:i/>
                <w:sz w:val="20"/>
                <w:szCs w:val="20"/>
                <w:lang w:val="uk-UA"/>
              </w:rPr>
            </w:pPr>
            <w:r w:rsidRPr="00C74D61">
              <w:rPr>
                <w:i/>
                <w:sz w:val="20"/>
                <w:szCs w:val="20"/>
                <w:lang w:val="uk-UA"/>
              </w:rPr>
              <w:t>6</w:t>
            </w:r>
          </w:p>
        </w:tc>
        <w:tc>
          <w:tcPr>
            <w:tcW w:w="5940" w:type="dxa"/>
          </w:tcPr>
          <w:p w:rsidR="008E7C7C" w:rsidRPr="00C74D61" w:rsidRDefault="008E7C7C" w:rsidP="00C74D61">
            <w:pPr>
              <w:jc w:val="center"/>
              <w:rPr>
                <w:i/>
                <w:sz w:val="20"/>
                <w:szCs w:val="20"/>
                <w:lang w:val="uk-UA"/>
              </w:rPr>
            </w:pPr>
            <w:r w:rsidRPr="00C74D61">
              <w:rPr>
                <w:i/>
                <w:sz w:val="20"/>
                <w:szCs w:val="20"/>
                <w:lang w:val="uk-UA"/>
              </w:rPr>
              <w:t>7</w:t>
            </w:r>
          </w:p>
        </w:tc>
      </w:tr>
      <w:tr w:rsidR="008E7C7C" w:rsidRPr="00C74D61" w:rsidTr="00C74D61">
        <w:tc>
          <w:tcPr>
            <w:tcW w:w="540" w:type="dxa"/>
            <w:vMerge w:val="restart"/>
            <w:vAlign w:val="center"/>
          </w:tcPr>
          <w:p w:rsidR="008E7C7C" w:rsidRPr="00C74D61" w:rsidRDefault="008E7C7C" w:rsidP="00C74D61">
            <w:pPr>
              <w:jc w:val="center"/>
              <w:rPr>
                <w:bCs/>
                <w:color w:val="000000"/>
                <w:sz w:val="20"/>
                <w:szCs w:val="20"/>
              </w:rPr>
            </w:pPr>
            <w:r w:rsidRPr="00C74D61">
              <w:rPr>
                <w:bCs/>
                <w:color w:val="000000"/>
                <w:sz w:val="20"/>
                <w:szCs w:val="20"/>
              </w:rPr>
              <w:t>І</w:t>
            </w:r>
          </w:p>
        </w:tc>
        <w:tc>
          <w:tcPr>
            <w:tcW w:w="1620" w:type="dxa"/>
            <w:vMerge w:val="restart"/>
            <w:vAlign w:val="center"/>
          </w:tcPr>
          <w:p w:rsidR="008E7C7C" w:rsidRPr="00C74D61" w:rsidRDefault="008E7C7C" w:rsidP="00C74D61">
            <w:pPr>
              <w:jc w:val="center"/>
              <w:rPr>
                <w:color w:val="000000"/>
                <w:sz w:val="20"/>
                <w:szCs w:val="20"/>
              </w:rPr>
            </w:pPr>
            <w:r w:rsidRPr="00C74D61">
              <w:rPr>
                <w:color w:val="000000"/>
                <w:sz w:val="20"/>
                <w:szCs w:val="20"/>
              </w:rPr>
              <w:t>Виконання соціальних гарантій з медичного обслуговування для пільгових верств населення</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1.1.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Відшкодування витрат, пов'язаних з відпуском лікарських засобів, спеціального харчування безоплатно чи на пільгових умовах хворим при окремих захворюваннях чи станах </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 xml:space="preserve">КНП «ЦПМСД «Центральний» РМР, КНП «ЦПМСД «Ювілейний» РМР, КНП «ЦПМСД «Північний» РМР, </w:t>
            </w:r>
            <w:r w:rsidRPr="00C74D61">
              <w:rPr>
                <w:color w:val="000000"/>
                <w:sz w:val="20"/>
                <w:szCs w:val="20"/>
                <w:lang w:val="uk-UA"/>
              </w:rPr>
              <w:t xml:space="preserve"> </w:t>
            </w:r>
            <w:r w:rsidRPr="00C74D61">
              <w:rPr>
                <w:color w:val="000000"/>
                <w:sz w:val="20"/>
                <w:szCs w:val="20"/>
              </w:rPr>
              <w:t>КНП «МЛ №2» РМР, КНП «МДЛ» РМР</w:t>
            </w:r>
          </w:p>
        </w:tc>
        <w:tc>
          <w:tcPr>
            <w:tcW w:w="2160" w:type="dxa"/>
          </w:tcPr>
          <w:p w:rsidR="008E7C7C" w:rsidRPr="00C74D61" w:rsidRDefault="008E7C7C" w:rsidP="00C74D61">
            <w:pPr>
              <w:jc w:val="both"/>
              <w:rPr>
                <w:sz w:val="20"/>
                <w:szCs w:val="20"/>
                <w:lang w:val="uk-UA"/>
              </w:rPr>
            </w:pPr>
            <w:r w:rsidRPr="00C74D61">
              <w:rPr>
                <w:sz w:val="20"/>
                <w:szCs w:val="20"/>
                <w:lang w:val="uk-UA"/>
              </w:rPr>
              <w:t xml:space="preserve">- кількість пацієнтів, із числа пільгових верств населення, що перебувають на обліку, всього: </w:t>
            </w:r>
          </w:p>
          <w:p w:rsidR="008E7C7C" w:rsidRPr="00C74D61" w:rsidRDefault="008E7C7C" w:rsidP="00C74D61">
            <w:pPr>
              <w:jc w:val="both"/>
              <w:rPr>
                <w:sz w:val="20"/>
                <w:szCs w:val="20"/>
                <w:lang w:val="uk-UA"/>
              </w:rPr>
            </w:pPr>
            <w:r w:rsidRPr="00C74D61">
              <w:rPr>
                <w:sz w:val="20"/>
                <w:szCs w:val="20"/>
                <w:lang w:val="uk-UA"/>
              </w:rPr>
              <w:t>*в тому числі із орфанними захворюваннями, із них з  муковісцидозом, фенілкетонурією;</w:t>
            </w:r>
          </w:p>
          <w:p w:rsidR="008E7C7C" w:rsidRPr="00C74D61" w:rsidRDefault="008E7C7C" w:rsidP="00C74D61">
            <w:pPr>
              <w:jc w:val="both"/>
              <w:rPr>
                <w:sz w:val="20"/>
                <w:szCs w:val="20"/>
                <w:lang w:val="uk-UA"/>
              </w:rPr>
            </w:pPr>
            <w:r w:rsidRPr="00C74D61">
              <w:rPr>
                <w:sz w:val="20"/>
                <w:szCs w:val="20"/>
                <w:lang w:val="uk-UA"/>
              </w:rPr>
              <w:t xml:space="preserve">* в тому числі кількість пацієнтів із пересадженими органами;  </w:t>
            </w:r>
          </w:p>
          <w:p w:rsidR="008E7C7C" w:rsidRPr="00C74D61" w:rsidRDefault="008E7C7C" w:rsidP="00C74D61">
            <w:pPr>
              <w:jc w:val="both"/>
              <w:rPr>
                <w:sz w:val="20"/>
                <w:szCs w:val="20"/>
                <w:lang w:val="uk-UA"/>
              </w:rPr>
            </w:pPr>
            <w:r w:rsidRPr="00C74D61">
              <w:rPr>
                <w:sz w:val="20"/>
                <w:szCs w:val="20"/>
                <w:lang w:val="uk-UA"/>
              </w:rPr>
              <w:t>- % забезпечення лікарськими засобами, спеціальним харчуванням безоплатно чи на пільгових умовах</w:t>
            </w:r>
          </w:p>
        </w:tc>
        <w:tc>
          <w:tcPr>
            <w:tcW w:w="5940" w:type="dxa"/>
            <w:vAlign w:val="center"/>
          </w:tcPr>
          <w:p w:rsidR="008E7C7C" w:rsidRPr="00C74D61" w:rsidRDefault="008E7C7C" w:rsidP="00C74D61">
            <w:pPr>
              <w:jc w:val="both"/>
              <w:rPr>
                <w:sz w:val="20"/>
                <w:lang w:val="uk-UA"/>
              </w:rPr>
            </w:pPr>
            <w:r w:rsidRPr="00C74D61">
              <w:rPr>
                <w:sz w:val="20"/>
                <w:lang w:val="uk-UA"/>
              </w:rPr>
              <w:t xml:space="preserve">     У закладах охорони здоров'я Рівненської міської ради на обліку перебуває </w:t>
            </w:r>
            <w:r w:rsidRPr="00C74D61">
              <w:rPr>
                <w:color w:val="000000"/>
                <w:sz w:val="20"/>
                <w:lang w:val="uk-UA"/>
              </w:rPr>
              <w:t>понад 50 тисяч осіб</w:t>
            </w:r>
            <w:r w:rsidRPr="00C74D61">
              <w:rPr>
                <w:sz w:val="20"/>
                <w:lang w:val="uk-UA"/>
              </w:rPr>
              <w:t>, членів Рівненської міської територіальної громади, які мають право на пільгове лікування в амбулаторних умовах відповідно до постанови Кабінету Міністрів України від 17.08.1998 № 1303 «Про впорядкування безплатного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та забезпечення лікарськими засобами хворих на рідкісні (орфанні) захворювання згідно з переліком, затвердженим наказом Міністерства охорони здоров’я України від 27.10.2014 № 778 «Про затвердження переліку рідкісних (орфанних) захворювань», в тому числі 14</w:t>
            </w:r>
            <w:r>
              <w:rPr>
                <w:sz w:val="20"/>
                <w:lang w:val="uk-UA"/>
              </w:rPr>
              <w:t>62</w:t>
            </w:r>
            <w:r w:rsidRPr="00C74D61">
              <w:rPr>
                <w:sz w:val="20"/>
                <w:lang w:val="uk-UA"/>
              </w:rPr>
              <w:t xml:space="preserve"> пацієнтів із орфанними захворюваннями, серед яких:</w:t>
            </w:r>
          </w:p>
          <w:p w:rsidR="008E7C7C" w:rsidRPr="00C74D61" w:rsidRDefault="008E7C7C" w:rsidP="00C74D61">
            <w:pPr>
              <w:jc w:val="both"/>
              <w:rPr>
                <w:sz w:val="20"/>
                <w:lang w:val="uk-UA"/>
              </w:rPr>
            </w:pPr>
            <w:r w:rsidRPr="00C74D61">
              <w:rPr>
                <w:sz w:val="20"/>
                <w:lang w:val="uk-UA"/>
              </w:rPr>
              <w:t>- 1</w:t>
            </w:r>
            <w:r>
              <w:rPr>
                <w:sz w:val="20"/>
                <w:lang w:val="uk-UA"/>
              </w:rPr>
              <w:t>5</w:t>
            </w:r>
            <w:r w:rsidRPr="00C74D61">
              <w:rPr>
                <w:sz w:val="20"/>
                <w:lang w:val="uk-UA"/>
              </w:rPr>
              <w:t xml:space="preserve"> осіб із муковісцидозом;</w:t>
            </w:r>
          </w:p>
          <w:p w:rsidR="008E7C7C" w:rsidRPr="00C74D61" w:rsidRDefault="008E7C7C" w:rsidP="00C74D61">
            <w:pPr>
              <w:jc w:val="both"/>
              <w:rPr>
                <w:sz w:val="20"/>
                <w:lang w:val="uk-UA"/>
              </w:rPr>
            </w:pPr>
            <w:r w:rsidRPr="00C74D61">
              <w:rPr>
                <w:sz w:val="20"/>
                <w:lang w:val="uk-UA"/>
              </w:rPr>
              <w:t>- 13 осіб із фенілкетонурією.</w:t>
            </w:r>
          </w:p>
          <w:p w:rsidR="008E7C7C" w:rsidRPr="00C74D61" w:rsidRDefault="008E7C7C" w:rsidP="00C74D61">
            <w:pPr>
              <w:jc w:val="both"/>
              <w:rPr>
                <w:sz w:val="20"/>
                <w:lang w:val="uk-UA"/>
              </w:rPr>
            </w:pPr>
            <w:r w:rsidRPr="00C74D61">
              <w:rPr>
                <w:sz w:val="20"/>
                <w:lang w:val="uk-UA"/>
              </w:rPr>
              <w:t>Із числа пільгових категорій населення Рівненської міської територіальної громади, що перебувають на обліку в закладах охорони здоров'я Рівненської міської ради – 1</w:t>
            </w:r>
            <w:r>
              <w:rPr>
                <w:sz w:val="20"/>
                <w:lang w:val="uk-UA"/>
              </w:rPr>
              <w:t>7</w:t>
            </w:r>
            <w:r w:rsidRPr="00C74D61">
              <w:rPr>
                <w:sz w:val="20"/>
                <w:lang w:val="uk-UA"/>
              </w:rPr>
              <w:t xml:space="preserve"> осіб із пересадженими органами. </w:t>
            </w:r>
          </w:p>
          <w:p w:rsidR="008E7C7C" w:rsidRPr="00C74D61" w:rsidRDefault="008E7C7C" w:rsidP="00C74D61">
            <w:pPr>
              <w:jc w:val="both"/>
              <w:rPr>
                <w:color w:val="000000"/>
              </w:rPr>
            </w:pPr>
            <w:r w:rsidRPr="00C74D61">
              <w:rPr>
                <w:color w:val="000000"/>
                <w:sz w:val="20"/>
                <w:lang w:val="uk-UA"/>
              </w:rPr>
              <w:t xml:space="preserve">     </w:t>
            </w:r>
            <w:r w:rsidRPr="00C74D61">
              <w:rPr>
                <w:color w:val="000000"/>
                <w:sz w:val="20"/>
              </w:rPr>
              <w:t xml:space="preserve">У закладах охорони здоров’я Рівненської міської ради на </w:t>
            </w:r>
            <w:r w:rsidRPr="00C74D61">
              <w:rPr>
                <w:sz w:val="20"/>
              </w:rPr>
              <w:t>100% пацієнтів забезпечено лікарськими засобами, спеціальним харчуванням безоплатно чи на пільгових умовах.</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1.2.</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осіб з інвалідністю, дітей з інвалідністю, інших окремих категорій населення медичними виробами та іншими засобами</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br/>
              <w:t xml:space="preserve">КНП «ЦПМСД «Північний» РМР, КНП «МЛ №2» РМР, </w:t>
            </w:r>
          </w:p>
          <w:p w:rsidR="008E7C7C" w:rsidRPr="00C74D61" w:rsidRDefault="008E7C7C" w:rsidP="00C74D61">
            <w:pPr>
              <w:jc w:val="center"/>
              <w:rPr>
                <w:color w:val="000000"/>
                <w:sz w:val="20"/>
                <w:szCs w:val="20"/>
              </w:rPr>
            </w:pPr>
            <w:r w:rsidRPr="00C74D61">
              <w:rPr>
                <w:color w:val="000000"/>
                <w:sz w:val="20"/>
                <w:szCs w:val="20"/>
              </w:rPr>
              <w:t>КНП «МДЛ» РМР</w:t>
            </w:r>
          </w:p>
        </w:tc>
        <w:tc>
          <w:tcPr>
            <w:tcW w:w="2160" w:type="dxa"/>
          </w:tcPr>
          <w:p w:rsidR="008E7C7C" w:rsidRPr="00C74D61" w:rsidRDefault="008E7C7C" w:rsidP="00C74D61">
            <w:pPr>
              <w:jc w:val="both"/>
              <w:rPr>
                <w:sz w:val="20"/>
                <w:szCs w:val="20"/>
                <w:lang w:val="uk-UA"/>
              </w:rPr>
            </w:pPr>
            <w:r w:rsidRPr="00C74D61">
              <w:rPr>
                <w:sz w:val="20"/>
                <w:szCs w:val="20"/>
                <w:lang w:val="uk-UA"/>
              </w:rPr>
              <w:t>- кількість осіб, що отримали медичні вироби та інші засоби;</w:t>
            </w:r>
          </w:p>
          <w:p w:rsidR="008E7C7C" w:rsidRPr="00C74D61" w:rsidRDefault="008E7C7C" w:rsidP="00C74D61">
            <w:pPr>
              <w:jc w:val="both"/>
              <w:rPr>
                <w:sz w:val="20"/>
                <w:szCs w:val="20"/>
                <w:lang w:val="uk-UA"/>
              </w:rPr>
            </w:pPr>
            <w:r w:rsidRPr="00C74D61">
              <w:rPr>
                <w:sz w:val="20"/>
                <w:szCs w:val="20"/>
                <w:lang w:val="uk-UA"/>
              </w:rPr>
              <w:t>- % забезпечення від потреби</w:t>
            </w:r>
          </w:p>
          <w:p w:rsidR="008E7C7C" w:rsidRPr="00C74D61" w:rsidRDefault="008E7C7C" w:rsidP="00C74D61">
            <w:pPr>
              <w:jc w:val="both"/>
              <w:rPr>
                <w:sz w:val="20"/>
                <w:szCs w:val="20"/>
                <w:lang w:val="uk-UA"/>
              </w:rPr>
            </w:pPr>
          </w:p>
        </w:tc>
        <w:tc>
          <w:tcPr>
            <w:tcW w:w="5940" w:type="dxa"/>
          </w:tcPr>
          <w:p w:rsidR="008E7C7C" w:rsidRPr="00C74D61" w:rsidRDefault="008E7C7C" w:rsidP="00C74D61">
            <w:pPr>
              <w:jc w:val="both"/>
              <w:rPr>
                <w:sz w:val="20"/>
                <w:szCs w:val="20"/>
                <w:lang w:val="uk-UA"/>
              </w:rPr>
            </w:pPr>
            <w:r w:rsidRPr="00C74D61">
              <w:rPr>
                <w:color w:val="000000"/>
                <w:sz w:val="20"/>
                <w:lang w:val="uk-UA"/>
              </w:rPr>
              <w:t xml:space="preserve">     В закладах охорони здоров’я Рівненської міської ради особи із інвалідністю, діти з інвалідністю та інші окремі категорії населення забезпечуються медичними виробами та іншими засобами. </w:t>
            </w:r>
            <w:r w:rsidRPr="00C74D61">
              <w:rPr>
                <w:color w:val="000000"/>
                <w:sz w:val="20"/>
              </w:rPr>
              <w:t>Так</w:t>
            </w:r>
            <w:r w:rsidRPr="00C74D61">
              <w:rPr>
                <w:color w:val="000000"/>
                <w:sz w:val="20"/>
                <w:lang w:val="uk-UA"/>
              </w:rPr>
              <w:t>,</w:t>
            </w:r>
            <w:r w:rsidRPr="00C74D61">
              <w:rPr>
                <w:color w:val="000000"/>
                <w:sz w:val="20"/>
              </w:rPr>
              <w:t xml:space="preserve"> за звітний період</w:t>
            </w:r>
            <w:r w:rsidRPr="00C74D61">
              <w:rPr>
                <w:color w:val="000000"/>
                <w:sz w:val="20"/>
                <w:lang w:val="uk-UA"/>
              </w:rPr>
              <w:t xml:space="preserve"> поточного року</w:t>
            </w:r>
            <w:r w:rsidRPr="00C74D61">
              <w:rPr>
                <w:color w:val="000000"/>
                <w:sz w:val="20"/>
              </w:rPr>
              <w:t xml:space="preserve"> </w:t>
            </w:r>
            <w:r>
              <w:rPr>
                <w:color w:val="000000"/>
                <w:sz w:val="20"/>
                <w:lang w:val="uk-UA"/>
              </w:rPr>
              <w:t>347</w:t>
            </w:r>
            <w:r w:rsidRPr="00C74D61">
              <w:rPr>
                <w:color w:val="000000"/>
                <w:sz w:val="20"/>
              </w:rPr>
              <w:t xml:space="preserve"> ос</w:t>
            </w:r>
            <w:r>
              <w:rPr>
                <w:color w:val="000000"/>
                <w:sz w:val="20"/>
                <w:lang w:val="uk-UA"/>
              </w:rPr>
              <w:t xml:space="preserve">іб   </w:t>
            </w:r>
            <w:r w:rsidRPr="00C74D61">
              <w:rPr>
                <w:color w:val="000000"/>
                <w:sz w:val="20"/>
              </w:rPr>
              <w:t xml:space="preserve"> отримали медичні вироби та інші засоби, що с</w:t>
            </w:r>
            <w:r w:rsidRPr="00C74D61">
              <w:rPr>
                <w:color w:val="000000"/>
                <w:sz w:val="20"/>
                <w:lang w:val="uk-UA"/>
              </w:rPr>
              <w:t>кладає</w:t>
            </w:r>
            <w:r w:rsidRPr="00C74D61">
              <w:rPr>
                <w:color w:val="000000"/>
                <w:sz w:val="20"/>
              </w:rPr>
              <w:t xml:space="preserve"> 100% від потреби.</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1.3.</w:t>
            </w:r>
          </w:p>
        </w:tc>
        <w:tc>
          <w:tcPr>
            <w:tcW w:w="2520" w:type="dxa"/>
            <w:vAlign w:val="center"/>
          </w:tcPr>
          <w:p w:rsidR="008E7C7C" w:rsidRPr="00C74D61" w:rsidRDefault="008E7C7C" w:rsidP="00C74D61">
            <w:pPr>
              <w:jc w:val="center"/>
              <w:rPr>
                <w:color w:val="000000"/>
                <w:sz w:val="20"/>
                <w:szCs w:val="20"/>
                <w:lang w:val="uk-UA"/>
              </w:rPr>
            </w:pPr>
            <w:r w:rsidRPr="00C74D61">
              <w:rPr>
                <w:color w:val="000000"/>
                <w:sz w:val="20"/>
                <w:szCs w:val="20"/>
              </w:rPr>
              <w:t>Забезпечення зубопротезуванням пільгових категорій населення, в тому числі учасників бойових дій та осіб з інвалідністю внаслідок війни</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«МСП» РМР</w:t>
            </w:r>
          </w:p>
        </w:tc>
        <w:tc>
          <w:tcPr>
            <w:tcW w:w="2160" w:type="dxa"/>
          </w:tcPr>
          <w:p w:rsidR="008E7C7C" w:rsidRPr="00C74D61" w:rsidRDefault="008E7C7C" w:rsidP="00C74D61">
            <w:pPr>
              <w:jc w:val="both"/>
              <w:rPr>
                <w:sz w:val="20"/>
                <w:szCs w:val="20"/>
              </w:rPr>
            </w:pPr>
            <w:r w:rsidRPr="00C74D61">
              <w:rPr>
                <w:sz w:val="20"/>
                <w:szCs w:val="20"/>
              </w:rPr>
              <w:t xml:space="preserve">– </w:t>
            </w:r>
            <w:r w:rsidRPr="00C74D61">
              <w:rPr>
                <w:sz w:val="20"/>
                <w:szCs w:val="20"/>
                <w:lang w:val="uk-UA"/>
              </w:rPr>
              <w:t>к</w:t>
            </w:r>
            <w:r w:rsidRPr="00C74D61">
              <w:rPr>
                <w:sz w:val="20"/>
                <w:szCs w:val="20"/>
              </w:rPr>
              <w:t xml:space="preserve">ількість </w:t>
            </w:r>
            <w:r w:rsidRPr="00C74D61">
              <w:rPr>
                <w:sz w:val="20"/>
                <w:szCs w:val="20"/>
                <w:lang w:val="uk-UA"/>
              </w:rPr>
              <w:t xml:space="preserve">осіб яким </w:t>
            </w:r>
            <w:r w:rsidRPr="00C74D61">
              <w:rPr>
                <w:sz w:val="20"/>
                <w:szCs w:val="20"/>
              </w:rPr>
              <w:t>виконан</w:t>
            </w:r>
            <w:r w:rsidRPr="00C74D61">
              <w:rPr>
                <w:sz w:val="20"/>
                <w:szCs w:val="20"/>
                <w:lang w:val="uk-UA"/>
              </w:rPr>
              <w:t xml:space="preserve">о </w:t>
            </w:r>
            <w:r w:rsidRPr="00C74D61">
              <w:rPr>
                <w:sz w:val="20"/>
                <w:szCs w:val="20"/>
              </w:rPr>
              <w:t>зубопротезуван</w:t>
            </w:r>
            <w:r w:rsidRPr="00C74D61">
              <w:rPr>
                <w:sz w:val="20"/>
                <w:szCs w:val="20"/>
                <w:lang w:val="uk-UA"/>
              </w:rPr>
              <w:t>ня</w:t>
            </w:r>
            <w:r w:rsidRPr="00C74D61">
              <w:rPr>
                <w:sz w:val="20"/>
                <w:szCs w:val="20"/>
              </w:rPr>
              <w:t>;</w:t>
            </w:r>
          </w:p>
          <w:p w:rsidR="008E7C7C" w:rsidRPr="00C74D61" w:rsidRDefault="008E7C7C" w:rsidP="00C74D61">
            <w:pPr>
              <w:jc w:val="both"/>
              <w:rPr>
                <w:sz w:val="20"/>
                <w:szCs w:val="20"/>
                <w:lang w:val="uk-UA"/>
              </w:rPr>
            </w:pPr>
            <w:r w:rsidRPr="00C74D61">
              <w:rPr>
                <w:sz w:val="20"/>
                <w:szCs w:val="20"/>
              </w:rPr>
              <w:t xml:space="preserve">– % </w:t>
            </w:r>
            <w:r w:rsidRPr="00C74D61">
              <w:rPr>
                <w:sz w:val="20"/>
                <w:szCs w:val="20"/>
                <w:lang w:val="uk-UA"/>
              </w:rPr>
              <w:t>запротезованих від усіх потребуючих зубопротезування з пільгової категорії;</w:t>
            </w:r>
          </w:p>
          <w:p w:rsidR="008E7C7C" w:rsidRPr="00C74D61" w:rsidRDefault="008E7C7C" w:rsidP="00C74D61">
            <w:pPr>
              <w:jc w:val="both"/>
              <w:rPr>
                <w:sz w:val="20"/>
                <w:szCs w:val="20"/>
                <w:lang w:val="uk-UA"/>
              </w:rPr>
            </w:pPr>
            <w:r w:rsidRPr="00C74D61">
              <w:rPr>
                <w:sz w:val="20"/>
                <w:szCs w:val="20"/>
                <w:lang w:val="uk-UA"/>
              </w:rPr>
              <w:t>- кількість осіб, що перебувають на черзі на пільгове зубопротезування станом на кінець звітного періоду</w:t>
            </w:r>
          </w:p>
        </w:tc>
        <w:tc>
          <w:tcPr>
            <w:tcW w:w="5940" w:type="dxa"/>
          </w:tcPr>
          <w:p w:rsidR="008E7C7C" w:rsidRPr="00C74D61" w:rsidRDefault="008E7C7C" w:rsidP="00C74D61">
            <w:pPr>
              <w:jc w:val="both"/>
              <w:rPr>
                <w:sz w:val="20"/>
              </w:rPr>
            </w:pPr>
            <w:r w:rsidRPr="00C74D61">
              <w:rPr>
                <w:color w:val="000000"/>
                <w:sz w:val="20"/>
                <w:lang w:val="uk-UA"/>
              </w:rPr>
              <w:t xml:space="preserve">     </w:t>
            </w:r>
            <w:r w:rsidRPr="00C74D61">
              <w:rPr>
                <w:color w:val="000000"/>
                <w:sz w:val="20"/>
              </w:rPr>
              <w:t xml:space="preserve">Станом на </w:t>
            </w:r>
            <w:r>
              <w:rPr>
                <w:color w:val="000000"/>
                <w:sz w:val="20"/>
                <w:lang w:val="uk-UA"/>
              </w:rPr>
              <w:t>30</w:t>
            </w:r>
            <w:r w:rsidRPr="00C74D61">
              <w:rPr>
                <w:color w:val="000000"/>
                <w:sz w:val="20"/>
              </w:rPr>
              <w:t>.</w:t>
            </w:r>
            <w:r>
              <w:rPr>
                <w:color w:val="000000"/>
                <w:sz w:val="20"/>
                <w:lang w:val="uk-UA"/>
              </w:rPr>
              <w:t>06</w:t>
            </w:r>
            <w:r w:rsidRPr="00C74D61">
              <w:rPr>
                <w:color w:val="000000"/>
                <w:sz w:val="20"/>
              </w:rPr>
              <w:t>.202</w:t>
            </w:r>
            <w:r>
              <w:rPr>
                <w:color w:val="000000"/>
                <w:sz w:val="20"/>
                <w:lang w:val="uk-UA"/>
              </w:rPr>
              <w:t>4</w:t>
            </w:r>
            <w:r w:rsidRPr="00C74D61">
              <w:rPr>
                <w:color w:val="000000"/>
                <w:sz w:val="20"/>
              </w:rPr>
              <w:t xml:space="preserve"> року </w:t>
            </w:r>
            <w:r>
              <w:rPr>
                <w:bCs/>
                <w:sz w:val="20"/>
              </w:rPr>
              <w:t>4</w:t>
            </w:r>
            <w:r>
              <w:rPr>
                <w:bCs/>
                <w:sz w:val="20"/>
                <w:lang w:val="uk-UA"/>
              </w:rPr>
              <w:t>446</w:t>
            </w:r>
            <w:r w:rsidRPr="00C74D61">
              <w:rPr>
                <w:bCs/>
                <w:sz w:val="20"/>
              </w:rPr>
              <w:t xml:space="preserve"> ос</w:t>
            </w:r>
            <w:r>
              <w:rPr>
                <w:bCs/>
                <w:sz w:val="20"/>
                <w:lang w:val="uk-UA"/>
              </w:rPr>
              <w:t>оби</w:t>
            </w:r>
            <w:r w:rsidRPr="00C74D61">
              <w:rPr>
                <w:sz w:val="20"/>
              </w:rPr>
              <w:t xml:space="preserve"> потребують пільгового зубопротезування. </w:t>
            </w:r>
          </w:p>
          <w:p w:rsidR="008E7C7C" w:rsidRPr="00C74D61" w:rsidRDefault="008E7C7C" w:rsidP="00C74D61">
            <w:pPr>
              <w:jc w:val="both"/>
              <w:rPr>
                <w:sz w:val="20"/>
                <w:szCs w:val="20"/>
                <w:lang w:val="uk-UA"/>
              </w:rPr>
            </w:pPr>
            <w:r w:rsidRPr="00C74D61">
              <w:rPr>
                <w:sz w:val="20"/>
              </w:rPr>
              <w:t xml:space="preserve">     За звітний період в КНП «Міська стоматологічна поліклініка» РМР запротезовано</w:t>
            </w:r>
            <w:r w:rsidRPr="00C74D61">
              <w:rPr>
                <w:bCs/>
                <w:sz w:val="20"/>
              </w:rPr>
              <w:t xml:space="preserve"> </w:t>
            </w:r>
            <w:r>
              <w:rPr>
                <w:bCs/>
                <w:sz w:val="20"/>
                <w:lang w:val="uk-UA"/>
              </w:rPr>
              <w:t>509</w:t>
            </w:r>
            <w:r w:rsidRPr="00C74D61">
              <w:rPr>
                <w:bCs/>
                <w:sz w:val="20"/>
              </w:rPr>
              <w:t xml:space="preserve"> ос</w:t>
            </w:r>
            <w:r>
              <w:rPr>
                <w:bCs/>
                <w:sz w:val="20"/>
                <w:lang w:val="uk-UA"/>
              </w:rPr>
              <w:t>іб</w:t>
            </w:r>
            <w:r w:rsidRPr="00C74D61">
              <w:rPr>
                <w:bCs/>
                <w:sz w:val="20"/>
              </w:rPr>
              <w:t xml:space="preserve">, </w:t>
            </w:r>
            <w:r w:rsidRPr="00C74D61">
              <w:rPr>
                <w:sz w:val="20"/>
              </w:rPr>
              <w:t xml:space="preserve">що становить </w:t>
            </w:r>
            <w:r>
              <w:rPr>
                <w:sz w:val="20"/>
                <w:lang w:val="uk-UA"/>
              </w:rPr>
              <w:t>7,5</w:t>
            </w:r>
            <w:r w:rsidRPr="00C74D61">
              <w:rPr>
                <w:sz w:val="20"/>
              </w:rPr>
              <w:t xml:space="preserve"> % від потреби.</w:t>
            </w:r>
          </w:p>
        </w:tc>
      </w:tr>
      <w:tr w:rsidR="008E7C7C" w:rsidRPr="00C74D61" w:rsidTr="00C74D61">
        <w:tc>
          <w:tcPr>
            <w:tcW w:w="540" w:type="dxa"/>
          </w:tcPr>
          <w:p w:rsidR="008E7C7C" w:rsidRPr="00C74D61" w:rsidRDefault="008E7C7C" w:rsidP="00C74D61">
            <w:pPr>
              <w:jc w:val="both"/>
              <w:rPr>
                <w:sz w:val="20"/>
                <w:szCs w:val="20"/>
                <w:lang w:val="uk-UA"/>
              </w:rPr>
            </w:pPr>
          </w:p>
        </w:tc>
        <w:tc>
          <w:tcPr>
            <w:tcW w:w="1620" w:type="dxa"/>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1.4.</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Забезпечення паліативної допомоги населенню, </w:t>
            </w:r>
            <w:r w:rsidRPr="00C74D61">
              <w:rPr>
                <w:color w:val="000000"/>
                <w:sz w:val="20"/>
                <w:szCs w:val="20"/>
              </w:rPr>
              <w:br/>
              <w:t>в т. ч. стаціонарної</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 xml:space="preserve">КНП «ЦПМСД «Центральний» РМР, КНП «ЦПМСД «Ювілейний» РМР, </w:t>
            </w:r>
            <w:r w:rsidRPr="00C74D61">
              <w:rPr>
                <w:color w:val="000000"/>
                <w:sz w:val="20"/>
                <w:szCs w:val="20"/>
              </w:rPr>
              <w:br/>
              <w:t xml:space="preserve">КНП «ЦПМСД «Північний» РМР, </w:t>
            </w:r>
            <w:r w:rsidRPr="00C74D61">
              <w:rPr>
                <w:color w:val="000000"/>
                <w:sz w:val="20"/>
                <w:szCs w:val="20"/>
                <w:lang w:val="uk-UA"/>
              </w:rPr>
              <w:t xml:space="preserve"> </w:t>
            </w:r>
            <w:r w:rsidRPr="00C74D61">
              <w:rPr>
                <w:color w:val="000000"/>
                <w:sz w:val="20"/>
                <w:szCs w:val="20"/>
              </w:rPr>
              <w:t xml:space="preserve">КНП «МЛ №2» РМР, </w:t>
            </w:r>
          </w:p>
          <w:p w:rsidR="008E7C7C" w:rsidRPr="00C74D61" w:rsidRDefault="008E7C7C" w:rsidP="00C74D61">
            <w:pPr>
              <w:jc w:val="center"/>
              <w:rPr>
                <w:color w:val="000000"/>
                <w:sz w:val="20"/>
                <w:szCs w:val="20"/>
              </w:rPr>
            </w:pPr>
            <w:r w:rsidRPr="00C74D61">
              <w:rPr>
                <w:color w:val="000000"/>
                <w:sz w:val="20"/>
                <w:szCs w:val="20"/>
              </w:rPr>
              <w:t>КНП «МДЛ»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xml:space="preserve">- </w:t>
            </w:r>
            <w:r w:rsidRPr="00C74D61">
              <w:rPr>
                <w:sz w:val="20"/>
                <w:szCs w:val="20"/>
              </w:rPr>
              <w:t>к</w:t>
            </w:r>
            <w:r w:rsidRPr="00C74D61">
              <w:rPr>
                <w:sz w:val="20"/>
                <w:szCs w:val="20"/>
                <w:lang w:val="uk-UA"/>
              </w:rPr>
              <w:t>ількість осіб, що отримали паліативну допомогу, в тому числі стаціонарну</w:t>
            </w:r>
          </w:p>
        </w:tc>
        <w:tc>
          <w:tcPr>
            <w:tcW w:w="5940" w:type="dxa"/>
          </w:tcPr>
          <w:p w:rsidR="008E7C7C" w:rsidRPr="00C74D61" w:rsidRDefault="008E7C7C" w:rsidP="00C74D61">
            <w:pPr>
              <w:jc w:val="both"/>
              <w:rPr>
                <w:sz w:val="20"/>
                <w:lang w:val="uk-UA"/>
              </w:rPr>
            </w:pPr>
            <w:r w:rsidRPr="00C74D61">
              <w:rPr>
                <w:sz w:val="20"/>
                <w:lang w:val="uk-UA"/>
              </w:rPr>
              <w:t xml:space="preserve">     Забезпечення адекватного знеболення паліативним хворим членам територіальної громади Рівного здійснюють мобільні паліативні бригади, що функціонують на базі 4 закладів охорони здоров'я: КНП «Центральна міська лікарня» РМР, КНП «Міська лікарня № 2» РМР, КНП Міська дитяча лікарня» РМР та КНП «ЦПМСД «Ювілейний» РМР.</w:t>
            </w:r>
          </w:p>
          <w:p w:rsidR="008E7C7C" w:rsidRPr="00C74D61" w:rsidRDefault="008E7C7C" w:rsidP="00C74D61">
            <w:pPr>
              <w:jc w:val="both"/>
              <w:rPr>
                <w:sz w:val="20"/>
              </w:rPr>
            </w:pPr>
            <w:r w:rsidRPr="00C74D61">
              <w:rPr>
                <w:sz w:val="20"/>
                <w:lang w:val="uk-UA"/>
              </w:rPr>
              <w:t xml:space="preserve">     </w:t>
            </w:r>
            <w:r w:rsidRPr="00C74D61">
              <w:rPr>
                <w:sz w:val="20"/>
              </w:rPr>
              <w:t xml:space="preserve">Окрім того, лікарями первинного рівня надання медичної допомоги паліативним пацієнтам у разі потреби призначаються таблетовані опіоїдні анальгетики.  </w:t>
            </w:r>
          </w:p>
          <w:p w:rsidR="008E7C7C" w:rsidRPr="007B73ED" w:rsidRDefault="008E7C7C" w:rsidP="00C74D61">
            <w:pPr>
              <w:jc w:val="both"/>
              <w:rPr>
                <w:sz w:val="20"/>
                <w:szCs w:val="20"/>
                <w:lang w:val="uk-UA"/>
              </w:rPr>
            </w:pPr>
            <w:r w:rsidRPr="00C74D61">
              <w:rPr>
                <w:sz w:val="20"/>
              </w:rPr>
              <w:t xml:space="preserve">     </w:t>
            </w:r>
            <w:r w:rsidRPr="00C74D61">
              <w:rPr>
                <w:sz w:val="20"/>
                <w:lang w:val="uk-UA"/>
              </w:rPr>
              <w:t xml:space="preserve">За </w:t>
            </w:r>
            <w:r>
              <w:rPr>
                <w:sz w:val="20"/>
                <w:lang w:val="en-US"/>
              </w:rPr>
              <w:t>I</w:t>
            </w:r>
            <w:r>
              <w:rPr>
                <w:sz w:val="20"/>
                <w:lang w:val="uk-UA"/>
              </w:rPr>
              <w:t xml:space="preserve"> півріччя  </w:t>
            </w:r>
            <w:r w:rsidRPr="00C74D61">
              <w:rPr>
                <w:sz w:val="20"/>
              </w:rPr>
              <w:t>202</w:t>
            </w:r>
            <w:r>
              <w:rPr>
                <w:sz w:val="20"/>
                <w:lang w:val="uk-UA"/>
              </w:rPr>
              <w:t>4</w:t>
            </w:r>
            <w:r w:rsidRPr="00C74D61">
              <w:rPr>
                <w:sz w:val="20"/>
              </w:rPr>
              <w:t xml:space="preserve"> року </w:t>
            </w:r>
            <w:r>
              <w:rPr>
                <w:sz w:val="20"/>
                <w:lang w:val="uk-UA"/>
              </w:rPr>
              <w:t>178</w:t>
            </w:r>
            <w:r w:rsidRPr="00C74D61">
              <w:rPr>
                <w:sz w:val="20"/>
              </w:rPr>
              <w:t xml:space="preserve"> паліативних пацієнтів отримали </w:t>
            </w:r>
            <w:r>
              <w:rPr>
                <w:sz w:val="20"/>
                <w:lang w:val="uk-UA"/>
              </w:rPr>
              <w:t xml:space="preserve">амбулаторне </w:t>
            </w:r>
            <w:r w:rsidRPr="00C74D61">
              <w:rPr>
                <w:sz w:val="20"/>
              </w:rPr>
              <w:t xml:space="preserve"> лікування</w:t>
            </w:r>
            <w:r>
              <w:rPr>
                <w:sz w:val="20"/>
                <w:lang w:val="uk-UA"/>
              </w:rPr>
              <w:t>.</w:t>
            </w:r>
          </w:p>
        </w:tc>
      </w:tr>
      <w:tr w:rsidR="008E7C7C" w:rsidRPr="00C74D61" w:rsidTr="00C74D61">
        <w:tc>
          <w:tcPr>
            <w:tcW w:w="540" w:type="dxa"/>
            <w:vMerge w:val="restart"/>
            <w:vAlign w:val="center"/>
          </w:tcPr>
          <w:p w:rsidR="008E7C7C" w:rsidRPr="00C74D61" w:rsidRDefault="008E7C7C" w:rsidP="00C74D61">
            <w:pPr>
              <w:jc w:val="center"/>
              <w:rPr>
                <w:bCs/>
                <w:color w:val="000000"/>
                <w:sz w:val="20"/>
                <w:szCs w:val="20"/>
              </w:rPr>
            </w:pPr>
            <w:r w:rsidRPr="00C74D61">
              <w:rPr>
                <w:bCs/>
                <w:color w:val="000000"/>
                <w:sz w:val="20"/>
                <w:szCs w:val="20"/>
              </w:rPr>
              <w:t>ІІ</w:t>
            </w:r>
          </w:p>
        </w:tc>
        <w:tc>
          <w:tcPr>
            <w:tcW w:w="1620" w:type="dxa"/>
            <w:vMerge w:val="restart"/>
            <w:vAlign w:val="center"/>
          </w:tcPr>
          <w:p w:rsidR="008E7C7C" w:rsidRPr="00C74D61" w:rsidRDefault="008E7C7C" w:rsidP="00C74D61">
            <w:pPr>
              <w:jc w:val="center"/>
              <w:rPr>
                <w:color w:val="000000"/>
                <w:sz w:val="20"/>
                <w:szCs w:val="20"/>
              </w:rPr>
            </w:pPr>
            <w:r w:rsidRPr="00C74D61">
              <w:rPr>
                <w:color w:val="000000"/>
                <w:sz w:val="20"/>
                <w:szCs w:val="20"/>
              </w:rPr>
              <w:t>Забезпечення заходів щодо запобігання поширенню гострих інфекційних хвороб</w:t>
            </w:r>
          </w:p>
          <w:p w:rsidR="008E7C7C" w:rsidRPr="00C74D61" w:rsidRDefault="008E7C7C" w:rsidP="00C74D61">
            <w:pPr>
              <w:jc w:val="center"/>
              <w:rPr>
                <w:color w:val="000000"/>
                <w:sz w:val="20"/>
                <w:szCs w:val="20"/>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2.1.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лікарськими засобами, виробами медичного призначення, витратними матеріалами, дезінфікуючими та засобами індивідуального захисту для надання невідкладної допомоги і ліквідації наслідків надзвичайних ситуацій та пандемій</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 xml:space="preserve">КНП «ЦПМСД «Центральний» РМР, КНП «ЦПМСД «Ювілейний» РМР, </w:t>
            </w:r>
            <w:r w:rsidRPr="00C74D61">
              <w:rPr>
                <w:color w:val="000000"/>
                <w:sz w:val="20"/>
                <w:szCs w:val="20"/>
              </w:rPr>
              <w:br/>
              <w:t xml:space="preserve">КНП «ЦПМСД «Північний» РМР, </w:t>
            </w:r>
            <w:r w:rsidRPr="00C74D61">
              <w:rPr>
                <w:color w:val="000000"/>
                <w:sz w:val="20"/>
                <w:szCs w:val="20"/>
                <w:lang w:val="uk-UA"/>
              </w:rPr>
              <w:t xml:space="preserve"> </w:t>
            </w:r>
            <w:r w:rsidRPr="00C74D61">
              <w:rPr>
                <w:color w:val="000000"/>
                <w:sz w:val="20"/>
                <w:szCs w:val="20"/>
              </w:rPr>
              <w:t>КНП «ЦМЛ» РМР, КНП «МЛ №2» РМР,</w:t>
            </w:r>
            <w:r w:rsidRPr="00C74D61">
              <w:rPr>
                <w:color w:val="000000"/>
                <w:sz w:val="20"/>
                <w:szCs w:val="20"/>
                <w:lang w:val="uk-UA"/>
              </w:rPr>
              <w:t xml:space="preserve"> </w:t>
            </w:r>
            <w:r w:rsidRPr="00C74D61">
              <w:rPr>
                <w:color w:val="000000"/>
                <w:sz w:val="20"/>
                <w:szCs w:val="20"/>
              </w:rPr>
              <w:t>КНП «МДЛ» РМР, КНП «ПБ» РМР,</w:t>
            </w:r>
            <w:r w:rsidRPr="00C74D61">
              <w:rPr>
                <w:color w:val="000000"/>
                <w:sz w:val="20"/>
                <w:szCs w:val="20"/>
                <w:lang w:val="uk-UA"/>
              </w:rPr>
              <w:t xml:space="preserve"> </w:t>
            </w:r>
            <w:r w:rsidRPr="00C74D61">
              <w:rPr>
                <w:color w:val="000000"/>
                <w:sz w:val="20"/>
                <w:szCs w:val="20"/>
              </w:rPr>
              <w:t>КНП «МСП»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виконані заходи за звітний період</w:t>
            </w:r>
          </w:p>
        </w:tc>
        <w:tc>
          <w:tcPr>
            <w:tcW w:w="5940" w:type="dxa"/>
          </w:tcPr>
          <w:p w:rsidR="008E7C7C" w:rsidRPr="00C74D61" w:rsidRDefault="008E7C7C" w:rsidP="00C74D61">
            <w:pPr>
              <w:tabs>
                <w:tab w:val="left" w:pos="1275"/>
              </w:tabs>
              <w:jc w:val="both"/>
              <w:rPr>
                <w:sz w:val="20"/>
                <w:lang w:val="uk-UA"/>
              </w:rPr>
            </w:pPr>
            <w:r w:rsidRPr="00C74D61">
              <w:rPr>
                <w:sz w:val="20"/>
                <w:lang w:val="uk-UA"/>
              </w:rPr>
              <w:t xml:space="preserve">     Для</w:t>
            </w:r>
            <w:r w:rsidRPr="00C74D61">
              <w:rPr>
                <w:color w:val="000000"/>
                <w:sz w:val="20"/>
                <w:lang w:val="uk-UA"/>
              </w:rPr>
              <w:t xml:space="preserve"> надання невідкладної допомоги і ліквідації наслідків надзвичайних ситуацій та пандемій</w:t>
            </w:r>
            <w:r w:rsidRPr="00C74D61">
              <w:rPr>
                <w:sz w:val="20"/>
                <w:lang w:val="uk-UA"/>
              </w:rPr>
              <w:t xml:space="preserve"> закладами охорони здоров'я Рівненської міської ради здійснюються закупівлі засобів індивідуального захисту (маски, респіратори, захисні халати, комбінезони індивідуального захисту, нітрилові рукавички, тощо), дезінфікуючих речовин та антисептичних засобів.</w:t>
            </w:r>
          </w:p>
          <w:p w:rsidR="008E7C7C" w:rsidRPr="00C74D61" w:rsidRDefault="008E7C7C" w:rsidP="00C74D61">
            <w:pPr>
              <w:tabs>
                <w:tab w:val="left" w:pos="1275"/>
              </w:tabs>
              <w:jc w:val="both"/>
              <w:rPr>
                <w:sz w:val="20"/>
              </w:rPr>
            </w:pPr>
            <w:r w:rsidRPr="00C74D61">
              <w:rPr>
                <w:sz w:val="20"/>
                <w:lang w:val="uk-UA"/>
              </w:rPr>
              <w:t xml:space="preserve">     </w:t>
            </w:r>
            <w:r w:rsidRPr="00C74D61">
              <w:rPr>
                <w:sz w:val="20"/>
              </w:rPr>
              <w:t>Заклади охорони здоров'я Рівненської міської ради забезпечені кисневими концентраторами, шприцевими насосами, апаратами ШВЛ, закуповуються швидкі тести для діагностики, набори для дослідження методом ПЛР.</w:t>
            </w:r>
          </w:p>
          <w:p w:rsidR="008E7C7C" w:rsidRPr="00C74D61" w:rsidRDefault="008E7C7C" w:rsidP="00C74D61">
            <w:pPr>
              <w:tabs>
                <w:tab w:val="left" w:pos="1275"/>
              </w:tabs>
              <w:jc w:val="both"/>
              <w:rPr>
                <w:sz w:val="20"/>
              </w:rPr>
            </w:pPr>
            <w:r w:rsidRPr="00C74D61">
              <w:rPr>
                <w:sz w:val="20"/>
              </w:rPr>
              <w:t xml:space="preserve">     Регулярно проводяться заняття, навчання з медичним персоналом та бесіди з пацієнтами щодо запобігання поширення коронавірусної інфекції.</w:t>
            </w:r>
          </w:p>
          <w:p w:rsidR="008E7C7C" w:rsidRPr="00C74D61" w:rsidRDefault="008E7C7C" w:rsidP="00C74D61">
            <w:pPr>
              <w:jc w:val="both"/>
              <w:rPr>
                <w:sz w:val="20"/>
                <w:szCs w:val="20"/>
                <w:lang w:val="uk-UA"/>
              </w:rPr>
            </w:pPr>
            <w:r w:rsidRPr="00C74D61">
              <w:rPr>
                <w:sz w:val="20"/>
              </w:rPr>
              <w:t xml:space="preserve">     </w:t>
            </w:r>
            <w:r w:rsidRPr="00C74D61">
              <w:rPr>
                <w:sz w:val="20"/>
                <w:shd w:val="clear" w:color="auto" w:fill="FFFFFF"/>
              </w:rPr>
              <w:t xml:space="preserve">Станом на </w:t>
            </w:r>
            <w:r>
              <w:rPr>
                <w:sz w:val="20"/>
                <w:shd w:val="clear" w:color="auto" w:fill="FFFFFF"/>
                <w:lang w:val="uk-UA"/>
              </w:rPr>
              <w:t>30</w:t>
            </w:r>
            <w:r w:rsidRPr="00C74D61">
              <w:rPr>
                <w:sz w:val="20"/>
                <w:shd w:val="clear" w:color="auto" w:fill="FFFFFF"/>
              </w:rPr>
              <w:t>.</w:t>
            </w:r>
            <w:r>
              <w:rPr>
                <w:sz w:val="20"/>
                <w:shd w:val="clear" w:color="auto" w:fill="FFFFFF"/>
                <w:lang w:val="uk-UA"/>
              </w:rPr>
              <w:t>06</w:t>
            </w:r>
            <w:r w:rsidRPr="00C74D61">
              <w:rPr>
                <w:sz w:val="20"/>
                <w:shd w:val="clear" w:color="auto" w:fill="FFFFFF"/>
              </w:rPr>
              <w:t>.202</w:t>
            </w:r>
            <w:r>
              <w:rPr>
                <w:sz w:val="20"/>
                <w:shd w:val="clear" w:color="auto" w:fill="FFFFFF"/>
                <w:lang w:val="uk-UA"/>
              </w:rPr>
              <w:t>4</w:t>
            </w:r>
            <w:r w:rsidRPr="00C74D61">
              <w:rPr>
                <w:sz w:val="20"/>
                <w:shd w:val="clear" w:color="auto" w:fill="FFFFFF"/>
              </w:rPr>
              <w:t xml:space="preserve"> заклади охорони здоров’я Рівненської міської ради </w:t>
            </w:r>
            <w:r w:rsidRPr="00C74D61">
              <w:rPr>
                <w:color w:val="000000"/>
                <w:sz w:val="20"/>
              </w:rPr>
              <w:t xml:space="preserve"> в повному обсязі забезпечені лікарськими засобами, виробами медичного призначення, витратними матеріалами, дезінфікуючими та засобами індивідуального захисту для надання невідкладної допомоги і ліквідації наслідків надзвичайних</w:t>
            </w:r>
            <w:r w:rsidRPr="00C74D61">
              <w:rPr>
                <w:b/>
                <w:bCs/>
                <w:i/>
                <w:iCs/>
                <w:color w:val="000000"/>
                <w:sz w:val="20"/>
              </w:rPr>
              <w:t xml:space="preserve"> </w:t>
            </w:r>
            <w:r w:rsidRPr="00C74D61">
              <w:rPr>
                <w:color w:val="000000"/>
                <w:sz w:val="20"/>
              </w:rPr>
              <w:t>ситуацій.</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2.2.</w:t>
            </w:r>
          </w:p>
        </w:tc>
        <w:tc>
          <w:tcPr>
            <w:tcW w:w="2520" w:type="dxa"/>
            <w:vAlign w:val="center"/>
          </w:tcPr>
          <w:p w:rsidR="008E7C7C" w:rsidRPr="00C74D61" w:rsidRDefault="008E7C7C" w:rsidP="00C74D61">
            <w:pPr>
              <w:jc w:val="center"/>
              <w:rPr>
                <w:color w:val="000000"/>
                <w:sz w:val="20"/>
                <w:szCs w:val="20"/>
                <w:lang w:val="uk-UA"/>
              </w:rPr>
            </w:pPr>
            <w:r w:rsidRPr="00C74D61">
              <w:rPr>
                <w:color w:val="000000"/>
                <w:sz w:val="20"/>
                <w:szCs w:val="20"/>
              </w:rPr>
              <w:t>Здійснення заохочення медичних працівників та працівників закладів охорони здоров'я за роботу, пов'язану із запобіганням розповсюдженню небезпечних інфекційних хвороб</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lang w:val="uk-UA"/>
              </w:rPr>
              <w:t xml:space="preserve">Управління охорони здоров'я, </w:t>
            </w:r>
            <w:r w:rsidRPr="00C74D61">
              <w:rPr>
                <w:color w:val="000000"/>
                <w:sz w:val="20"/>
                <w:szCs w:val="20"/>
                <w:lang w:val="uk-UA"/>
              </w:rPr>
              <w:br/>
              <w:t>КНП «ЦПМСД «Центральний» РМР, КНП «ЦПМСД «Ювілейний» РМР, КНП «ЦПМСД «Північний» РМР,  КНП «ЦМЛ» РМР, КНП «МЛ №2» РМР, КНП «МДЛ» РМР, КНП «ПБ» РМР,  КНП «МСП»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кількість осіб</w:t>
            </w:r>
          </w:p>
        </w:tc>
        <w:tc>
          <w:tcPr>
            <w:tcW w:w="5940" w:type="dxa"/>
          </w:tcPr>
          <w:p w:rsidR="008E7C7C" w:rsidRPr="00C74D61" w:rsidRDefault="008E7C7C" w:rsidP="00C74D61">
            <w:pPr>
              <w:jc w:val="both"/>
              <w:rPr>
                <w:sz w:val="20"/>
              </w:rPr>
            </w:pPr>
            <w:r w:rsidRPr="00C74D61">
              <w:rPr>
                <w:sz w:val="20"/>
                <w:lang w:val="uk-UA"/>
              </w:rPr>
              <w:t xml:space="preserve">     </w:t>
            </w:r>
            <w:r w:rsidRPr="00C74D61">
              <w:rPr>
                <w:sz w:val="20"/>
              </w:rPr>
              <w:t xml:space="preserve">На сучасному етапі реформування в галузі медицини України, в тому числі Рівненської міської територіальної громади, мотивація медичного персоналу лікувальних закладів має велике значення. Медичний персонал є найскладнішим та специфічним видом ресурсів, що використовує заклад охорони здоров′я у своїй діяльності. Ефективність професійної діяльності лікувальних закладів у значній мірі залежить від ефективності праці медичного персоналу. Саме через зацікавленість медичного працівника у результатах його роботи при створенні належних умов праці можна домогтися підвищення продуктивності праці. </w:t>
            </w:r>
          </w:p>
          <w:p w:rsidR="008E7C7C" w:rsidRPr="00C74D61" w:rsidRDefault="008E7C7C" w:rsidP="003D760B">
            <w:pPr>
              <w:jc w:val="both"/>
              <w:rPr>
                <w:color w:val="FF0000"/>
                <w:sz w:val="20"/>
              </w:rPr>
            </w:pPr>
            <w:r w:rsidRPr="00C74D61">
              <w:rPr>
                <w:sz w:val="20"/>
              </w:rPr>
              <w:t xml:space="preserve">     Враховуючи вищевказане у</w:t>
            </w:r>
            <w:r>
              <w:rPr>
                <w:sz w:val="20"/>
                <w:lang w:val="uk-UA"/>
              </w:rPr>
              <w:t xml:space="preserve"> </w:t>
            </w:r>
            <w:r w:rsidRPr="00C74D61">
              <w:rPr>
                <w:sz w:val="20"/>
              </w:rPr>
              <w:t xml:space="preserve">закладах охорони здоров'я Рівненської міської ради розроблена система мотивації медичного персоналу із застосуванням ефективних інструментів та стимулів впливу на поведінку медичних працівників для досягнення їхніх власних цілей та цілей даного лікувального закладу. </w:t>
            </w:r>
          </w:p>
          <w:p w:rsidR="008E7C7C" w:rsidRPr="009D3CBF" w:rsidRDefault="008E7C7C" w:rsidP="00C74D61">
            <w:pPr>
              <w:jc w:val="both"/>
              <w:rPr>
                <w:sz w:val="20"/>
                <w:szCs w:val="20"/>
                <w:lang w:val="uk-UA"/>
              </w:rPr>
            </w:pPr>
            <w:r w:rsidRPr="00C74D61">
              <w:rPr>
                <w:color w:val="FF0000"/>
                <w:sz w:val="20"/>
              </w:rPr>
              <w:t xml:space="preserve">     </w:t>
            </w:r>
            <w:r w:rsidRPr="00C74D61">
              <w:rPr>
                <w:sz w:val="20"/>
              </w:rPr>
              <w:t>Протягом звітного періоду у КНП «ЦПМСД «Центральний» РМР здійснено заходи для заохочення 5 осіб за роботу, пов'язану із запобіганням розповсюдженню небезпечних інфекційних хвороб за рахунок власних коштів закладу</w:t>
            </w:r>
            <w:r>
              <w:rPr>
                <w:sz w:val="20"/>
                <w:lang w:val="uk-UA"/>
              </w:rPr>
              <w:t xml:space="preserve"> та у КНП «Пологовий будинок» РМР – 5-х осіб.</w:t>
            </w:r>
          </w:p>
        </w:tc>
      </w:tr>
      <w:tr w:rsidR="008E7C7C" w:rsidRPr="00C04968"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2.3.</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Видатки на оплату проїзду та харчування медичних працівників та працівників закладів охорони здоров'я, робота яких пов'язана із запобіганням розповсюдженню небезпечних інфекційних хвороб</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t>КНП «ЦПМСД «Північний» РМР, КНП «ЦМЛ» РМР, КНП «МЛ №2» РМР,</w:t>
            </w:r>
            <w:r w:rsidRPr="00C74D61">
              <w:rPr>
                <w:color w:val="000000"/>
                <w:sz w:val="20"/>
                <w:szCs w:val="20"/>
                <w:lang w:val="uk-UA"/>
              </w:rPr>
              <w:t xml:space="preserve"> </w:t>
            </w:r>
            <w:r w:rsidRPr="00C74D61">
              <w:rPr>
                <w:color w:val="000000"/>
                <w:sz w:val="20"/>
                <w:szCs w:val="20"/>
              </w:rPr>
              <w:t>КНП «МДЛ» РМР, КНП «ПБ» РМР,</w:t>
            </w:r>
            <w:r w:rsidRPr="00C74D61">
              <w:rPr>
                <w:color w:val="000000"/>
                <w:sz w:val="20"/>
                <w:szCs w:val="20"/>
                <w:lang w:val="uk-UA"/>
              </w:rPr>
              <w:t xml:space="preserve"> </w:t>
            </w:r>
            <w:r w:rsidRPr="00C74D61">
              <w:rPr>
                <w:color w:val="000000"/>
                <w:sz w:val="20"/>
                <w:szCs w:val="20"/>
              </w:rPr>
              <w:t>КНП «МСП»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кількість осіб</w:t>
            </w:r>
          </w:p>
        </w:tc>
        <w:tc>
          <w:tcPr>
            <w:tcW w:w="5940" w:type="dxa"/>
          </w:tcPr>
          <w:p w:rsidR="008E7C7C" w:rsidRPr="00C74D61" w:rsidRDefault="008E7C7C" w:rsidP="00C74D61">
            <w:pPr>
              <w:jc w:val="both"/>
              <w:rPr>
                <w:sz w:val="20"/>
                <w:szCs w:val="20"/>
                <w:lang w:val="uk-UA"/>
              </w:rPr>
            </w:pPr>
            <w:r w:rsidRPr="00C74D61">
              <w:rPr>
                <w:sz w:val="20"/>
                <w:lang w:val="uk-UA"/>
              </w:rPr>
              <w:t xml:space="preserve">     </w:t>
            </w:r>
            <w:r>
              <w:rPr>
                <w:sz w:val="20"/>
                <w:lang w:val="uk-UA"/>
              </w:rPr>
              <w:t xml:space="preserve">За звітній період </w:t>
            </w:r>
            <w:r w:rsidRPr="00C74D61">
              <w:rPr>
                <w:sz w:val="20"/>
                <w:lang w:val="uk-UA"/>
              </w:rPr>
              <w:t>видатки з місцевого бюджету на оплату проїзду та харчування медичних працівників та працівників закладів охорони здоров'я, робота яких пов'язана із запобіганням розповсюдженню небезпечних інфекційних хвороб, не здійснювались.</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2.4.</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медичного страхування медичних працівників на випадок інфікування ВІЛ/СНІД, гепатитами та COVID-19 на робочому місці</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t xml:space="preserve">КНП «ЦПМСД «Північний» РМР, </w:t>
            </w:r>
            <w:r w:rsidRPr="00C74D61">
              <w:rPr>
                <w:color w:val="000000"/>
                <w:sz w:val="20"/>
                <w:szCs w:val="20"/>
                <w:lang w:val="uk-UA"/>
              </w:rPr>
              <w:t xml:space="preserve"> </w:t>
            </w:r>
            <w:r w:rsidRPr="00C74D61">
              <w:rPr>
                <w:color w:val="000000"/>
                <w:sz w:val="20"/>
                <w:szCs w:val="20"/>
              </w:rPr>
              <w:t>КНП «ЦМЛ» РМР, КНП «МЛ №2» РМР,</w:t>
            </w:r>
            <w:r w:rsidRPr="00C74D61">
              <w:rPr>
                <w:color w:val="000000"/>
                <w:sz w:val="20"/>
                <w:szCs w:val="20"/>
                <w:lang w:val="uk-UA"/>
              </w:rPr>
              <w:t xml:space="preserve"> </w:t>
            </w:r>
            <w:r w:rsidRPr="00C74D61">
              <w:rPr>
                <w:color w:val="000000"/>
                <w:sz w:val="20"/>
                <w:szCs w:val="20"/>
              </w:rPr>
              <w:t>КНП «МДЛ» РМР, КНП «ПБ» РМР, КНП «МСП» РМР</w:t>
            </w:r>
          </w:p>
          <w:p w:rsidR="008E7C7C" w:rsidRPr="00C74D61" w:rsidRDefault="008E7C7C" w:rsidP="00C74D61">
            <w:pPr>
              <w:jc w:val="center"/>
              <w:rPr>
                <w:color w:val="000000"/>
                <w:sz w:val="20"/>
                <w:szCs w:val="20"/>
                <w:lang w:val="uk-UA"/>
              </w:rPr>
            </w:pPr>
          </w:p>
        </w:tc>
        <w:tc>
          <w:tcPr>
            <w:tcW w:w="2160" w:type="dxa"/>
          </w:tcPr>
          <w:p w:rsidR="008E7C7C" w:rsidRPr="00C74D61" w:rsidRDefault="008E7C7C" w:rsidP="00C74D61">
            <w:pPr>
              <w:jc w:val="both"/>
              <w:rPr>
                <w:sz w:val="20"/>
                <w:szCs w:val="20"/>
              </w:rPr>
            </w:pPr>
            <w:r w:rsidRPr="00C74D61">
              <w:rPr>
                <w:sz w:val="20"/>
              </w:rPr>
              <w:t>– 100% страхування медпрацівників на випадок інфікування СНІДом</w:t>
            </w:r>
            <w:r w:rsidRPr="00C74D61">
              <w:rPr>
                <w:sz w:val="20"/>
                <w:lang w:val="uk-UA"/>
              </w:rPr>
              <w:t>,</w:t>
            </w:r>
            <w:r w:rsidRPr="00C74D61">
              <w:rPr>
                <w:sz w:val="20"/>
              </w:rPr>
              <w:t xml:space="preserve"> </w:t>
            </w:r>
            <w:r w:rsidRPr="00C74D61">
              <w:rPr>
                <w:sz w:val="20"/>
                <w:lang w:val="uk-UA"/>
              </w:rPr>
              <w:t>гепатитами та COVID-19</w:t>
            </w:r>
            <w:r w:rsidRPr="00C74D61">
              <w:rPr>
                <w:sz w:val="20"/>
              </w:rPr>
              <w:t xml:space="preserve"> на робочому місці</w:t>
            </w:r>
          </w:p>
        </w:tc>
        <w:tc>
          <w:tcPr>
            <w:tcW w:w="5940" w:type="dxa"/>
          </w:tcPr>
          <w:p w:rsidR="008E7C7C" w:rsidRPr="00C74D61" w:rsidRDefault="008E7C7C" w:rsidP="00C74D61">
            <w:pPr>
              <w:jc w:val="both"/>
              <w:rPr>
                <w:color w:val="000000"/>
                <w:sz w:val="20"/>
              </w:rPr>
            </w:pPr>
            <w:r w:rsidRPr="00C74D61">
              <w:rPr>
                <w:color w:val="FF0000"/>
                <w:sz w:val="20"/>
              </w:rPr>
              <w:t xml:space="preserve">     </w:t>
            </w:r>
            <w:r w:rsidRPr="00C74D61">
              <w:rPr>
                <w:color w:val="000000"/>
                <w:sz w:val="20"/>
              </w:rPr>
              <w:t>До колективних договорів закладів охорони здоров'я Рівненської міської ради включено Положення з охорони праці, соціального захисту та обов'язкового спеціального страхування на випадок інфікування ВІЛ-інфекцією з урахуванням потреб працівників у контексті ВІЛ-інфекції/СНІДу.</w:t>
            </w:r>
          </w:p>
          <w:p w:rsidR="008E7C7C" w:rsidRPr="00C74D61" w:rsidRDefault="008E7C7C" w:rsidP="00C74D61">
            <w:pPr>
              <w:tabs>
                <w:tab w:val="left" w:pos="5565"/>
              </w:tabs>
              <w:jc w:val="both"/>
              <w:rPr>
                <w:color w:val="000000"/>
                <w:sz w:val="20"/>
              </w:rPr>
            </w:pPr>
            <w:r w:rsidRPr="00C74D61">
              <w:rPr>
                <w:color w:val="000000"/>
                <w:sz w:val="20"/>
              </w:rPr>
              <w:t xml:space="preserve">     Заклади охорони здоров'я міста Рівного заключають угоди зі страховими компаніями для страхування медичних працівників на випадок інфікування ВІЛ/СНІД та гепатитом при виконанні ними службових обов’язків відповідно до постанови КМУ від 1998 року № 1642 (зі змінами, внесеними згідно з Постановами КМ). </w:t>
            </w:r>
          </w:p>
          <w:p w:rsidR="008E7C7C" w:rsidRPr="00C74D61" w:rsidRDefault="008E7C7C" w:rsidP="00C74D61">
            <w:pPr>
              <w:jc w:val="both"/>
              <w:rPr>
                <w:sz w:val="20"/>
                <w:szCs w:val="20"/>
                <w:lang w:val="uk-UA"/>
              </w:rPr>
            </w:pPr>
            <w:r w:rsidRPr="00C74D61">
              <w:rPr>
                <w:color w:val="FF0000"/>
                <w:sz w:val="20"/>
              </w:rPr>
              <w:t xml:space="preserve">     </w:t>
            </w:r>
            <w:r w:rsidRPr="00C74D61">
              <w:rPr>
                <w:color w:val="000000"/>
                <w:sz w:val="20"/>
              </w:rPr>
              <w:t>В закладах охорони здоров'я Рівненської міської ради на 100 % забезпечено страхування медпрацівників із підлягаючих на випадок інфікування СНІДом, гепатитами та COVID-19 на робочому місці за рахунок інших джерел надходжень.</w:t>
            </w:r>
          </w:p>
        </w:tc>
      </w:tr>
      <w:tr w:rsidR="008E7C7C" w:rsidRPr="00C74D61" w:rsidTr="00C74D61">
        <w:tc>
          <w:tcPr>
            <w:tcW w:w="540" w:type="dxa"/>
            <w:vMerge w:val="restart"/>
            <w:vAlign w:val="center"/>
          </w:tcPr>
          <w:p w:rsidR="008E7C7C" w:rsidRPr="00C74D61" w:rsidRDefault="008E7C7C" w:rsidP="00C74D61">
            <w:pPr>
              <w:jc w:val="center"/>
              <w:rPr>
                <w:bCs/>
                <w:color w:val="000000"/>
                <w:sz w:val="20"/>
                <w:szCs w:val="20"/>
              </w:rPr>
            </w:pPr>
            <w:r w:rsidRPr="00C74D61">
              <w:rPr>
                <w:bCs/>
                <w:color w:val="000000"/>
                <w:sz w:val="20"/>
                <w:szCs w:val="20"/>
              </w:rPr>
              <w:t>ІІІ</w:t>
            </w:r>
          </w:p>
        </w:tc>
        <w:tc>
          <w:tcPr>
            <w:tcW w:w="1620" w:type="dxa"/>
            <w:vMerge w:val="restart"/>
            <w:vAlign w:val="center"/>
          </w:tcPr>
          <w:p w:rsidR="008E7C7C" w:rsidRPr="00C74D61" w:rsidRDefault="008E7C7C" w:rsidP="00C74D61">
            <w:pPr>
              <w:jc w:val="center"/>
              <w:rPr>
                <w:color w:val="000000"/>
                <w:sz w:val="20"/>
                <w:szCs w:val="20"/>
              </w:rPr>
            </w:pPr>
            <w:r w:rsidRPr="00C74D61">
              <w:rPr>
                <w:color w:val="000000"/>
                <w:sz w:val="20"/>
                <w:szCs w:val="20"/>
              </w:rPr>
              <w:t>Проведення ранньої діагностики соціально небезпечних хвороб</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3.1.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повного охоплення періодичними рентгенологічними обстеженнями декретованих контингентів та організованого населення, організація лабораторного обстеження осіб з підозрою на туберкульоз</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ype="page"/>
            </w:r>
          </w:p>
          <w:p w:rsidR="008E7C7C" w:rsidRPr="00C74D61" w:rsidRDefault="008E7C7C" w:rsidP="00C74D61">
            <w:pPr>
              <w:jc w:val="center"/>
              <w:rPr>
                <w:color w:val="000000"/>
                <w:sz w:val="20"/>
                <w:szCs w:val="20"/>
              </w:rPr>
            </w:pPr>
            <w:r w:rsidRPr="00C74D61">
              <w:rPr>
                <w:color w:val="000000"/>
                <w:sz w:val="20"/>
                <w:szCs w:val="20"/>
              </w:rPr>
              <w:t xml:space="preserve">КНП «ЦПМСД «Центральний» РМР, </w:t>
            </w:r>
            <w:r w:rsidRPr="00C74D61">
              <w:rPr>
                <w:color w:val="000000"/>
                <w:sz w:val="20"/>
                <w:szCs w:val="20"/>
              </w:rPr>
              <w:br w:type="page"/>
              <w:t xml:space="preserve">КНП «ЦПМСД «Ювілейний» РМР, </w:t>
            </w:r>
            <w:r w:rsidRPr="00C74D61">
              <w:rPr>
                <w:color w:val="000000"/>
                <w:sz w:val="20"/>
                <w:szCs w:val="20"/>
              </w:rPr>
              <w:br w:type="page"/>
            </w:r>
          </w:p>
          <w:p w:rsidR="008E7C7C" w:rsidRPr="00C74D61" w:rsidRDefault="008E7C7C" w:rsidP="00C74D61">
            <w:pPr>
              <w:jc w:val="center"/>
              <w:rPr>
                <w:color w:val="000000"/>
                <w:sz w:val="20"/>
                <w:szCs w:val="20"/>
              </w:rPr>
            </w:pPr>
            <w:r w:rsidRPr="00C74D61">
              <w:rPr>
                <w:color w:val="000000"/>
                <w:sz w:val="20"/>
                <w:szCs w:val="20"/>
              </w:rPr>
              <w:t xml:space="preserve">КНП «ЦПМСД «Північний» РМР, </w:t>
            </w:r>
            <w:r w:rsidRPr="00C74D61">
              <w:rPr>
                <w:color w:val="000000"/>
                <w:sz w:val="20"/>
                <w:szCs w:val="20"/>
              </w:rPr>
              <w:br w:type="page"/>
            </w:r>
            <w:r w:rsidRPr="00C74D61">
              <w:rPr>
                <w:color w:val="000000"/>
                <w:sz w:val="20"/>
                <w:szCs w:val="20"/>
                <w:lang w:val="uk-UA"/>
              </w:rPr>
              <w:t xml:space="preserve"> </w:t>
            </w:r>
            <w:r w:rsidRPr="00C74D61">
              <w:rPr>
                <w:color w:val="000000"/>
                <w:sz w:val="20"/>
                <w:szCs w:val="20"/>
              </w:rPr>
              <w:t>КНП «МЛ №2» РМР, КНП «МДЛ» РМР</w:t>
            </w:r>
          </w:p>
        </w:tc>
        <w:tc>
          <w:tcPr>
            <w:tcW w:w="2160" w:type="dxa"/>
            <w:vAlign w:val="center"/>
          </w:tcPr>
          <w:p w:rsidR="008E7C7C" w:rsidRPr="00C74D61" w:rsidRDefault="008E7C7C" w:rsidP="00C74D61">
            <w:pPr>
              <w:jc w:val="center"/>
              <w:rPr>
                <w:sz w:val="20"/>
              </w:rPr>
            </w:pPr>
            <w:r w:rsidRPr="00C74D61">
              <w:rPr>
                <w:sz w:val="20"/>
              </w:rPr>
              <w:t>– % виконання згідно плану профоглядів;</w:t>
            </w:r>
          </w:p>
          <w:p w:rsidR="008E7C7C" w:rsidRPr="00C74D61" w:rsidRDefault="008E7C7C" w:rsidP="00C74D61">
            <w:pPr>
              <w:ind w:left="34"/>
              <w:jc w:val="center"/>
              <w:rPr>
                <w:sz w:val="20"/>
              </w:rPr>
            </w:pPr>
            <w:r w:rsidRPr="00C74D61">
              <w:rPr>
                <w:sz w:val="20"/>
              </w:rPr>
              <w:t xml:space="preserve">- </w:t>
            </w:r>
            <w:r w:rsidRPr="00C74D61">
              <w:rPr>
                <w:sz w:val="20"/>
                <w:lang w:val="uk-UA"/>
              </w:rPr>
              <w:t>динаміка</w:t>
            </w:r>
            <w:r w:rsidRPr="00C74D61">
              <w:rPr>
                <w:sz w:val="20"/>
              </w:rPr>
              <w:t xml:space="preserve"> показника захворюваності на туберкульоз;</w:t>
            </w:r>
          </w:p>
          <w:p w:rsidR="008E7C7C" w:rsidRPr="00C74D61" w:rsidRDefault="008E7C7C" w:rsidP="00C74D61">
            <w:pPr>
              <w:jc w:val="center"/>
              <w:rPr>
                <w:sz w:val="20"/>
                <w:szCs w:val="20"/>
              </w:rPr>
            </w:pPr>
            <w:r w:rsidRPr="00C74D61">
              <w:rPr>
                <w:sz w:val="20"/>
              </w:rPr>
              <w:t xml:space="preserve">- </w:t>
            </w:r>
            <w:r w:rsidRPr="00C74D61">
              <w:rPr>
                <w:sz w:val="20"/>
                <w:lang w:val="uk-UA"/>
              </w:rPr>
              <w:t>динаміка</w:t>
            </w:r>
            <w:r w:rsidRPr="00C74D61">
              <w:rPr>
                <w:sz w:val="20"/>
              </w:rPr>
              <w:t xml:space="preserve"> показника смертності від туберкульозу</w:t>
            </w:r>
          </w:p>
        </w:tc>
        <w:tc>
          <w:tcPr>
            <w:tcW w:w="5940" w:type="dxa"/>
          </w:tcPr>
          <w:p w:rsidR="008E7C7C" w:rsidRPr="00C74D61" w:rsidRDefault="008E7C7C" w:rsidP="00C74D61">
            <w:pPr>
              <w:jc w:val="both"/>
              <w:rPr>
                <w:sz w:val="20"/>
              </w:rPr>
            </w:pPr>
            <w:r w:rsidRPr="00C74D61">
              <w:rPr>
                <w:color w:val="000000"/>
                <w:sz w:val="20"/>
              </w:rPr>
              <w:t xml:space="preserve">     Протягом звітн</w:t>
            </w:r>
            <w:r>
              <w:rPr>
                <w:color w:val="000000"/>
                <w:sz w:val="20"/>
              </w:rPr>
              <w:t>ь</w:t>
            </w:r>
            <w:r w:rsidRPr="00C74D61">
              <w:rPr>
                <w:color w:val="000000"/>
                <w:sz w:val="20"/>
              </w:rPr>
              <w:t>ого періоду закла</w:t>
            </w:r>
            <w:r w:rsidRPr="00C74D61">
              <w:rPr>
                <w:sz w:val="20"/>
              </w:rPr>
              <w:t>ди охорони здоров’я Рівненської міської ради фактично виконали плани рентгенологічних профілактичних оглядів декретованих груп населення.</w:t>
            </w:r>
          </w:p>
          <w:p w:rsidR="008E7C7C" w:rsidRDefault="008E7C7C" w:rsidP="00180AFE">
            <w:pPr>
              <w:jc w:val="both"/>
              <w:rPr>
                <w:sz w:val="20"/>
                <w:lang w:val="uk-UA"/>
              </w:rPr>
            </w:pPr>
            <w:r w:rsidRPr="00C74D61">
              <w:rPr>
                <w:sz w:val="20"/>
              </w:rPr>
              <w:t xml:space="preserve">     За даними КП «Рівненський обласний фтизіопульмонологічний центр» РОР</w:t>
            </w:r>
            <w:r>
              <w:rPr>
                <w:sz w:val="20"/>
                <w:lang w:val="uk-UA"/>
              </w:rPr>
              <w:t xml:space="preserve"> за звітній період </w:t>
            </w:r>
            <w:r w:rsidRPr="00C74D61">
              <w:rPr>
                <w:sz w:val="20"/>
              </w:rPr>
              <w:t>202</w:t>
            </w:r>
            <w:r>
              <w:rPr>
                <w:sz w:val="20"/>
                <w:lang w:val="uk-UA"/>
              </w:rPr>
              <w:t>4</w:t>
            </w:r>
            <w:r w:rsidRPr="00C74D61">
              <w:rPr>
                <w:sz w:val="20"/>
              </w:rPr>
              <w:t xml:space="preserve"> року спостерігається </w:t>
            </w:r>
            <w:r>
              <w:rPr>
                <w:sz w:val="20"/>
                <w:lang w:val="uk-UA"/>
              </w:rPr>
              <w:t>збільшення</w:t>
            </w:r>
            <w:r w:rsidRPr="00C74D61">
              <w:rPr>
                <w:sz w:val="20"/>
              </w:rPr>
              <w:t xml:space="preserve"> показника захворюваності на туберкульоз серед членів Рівненської територіальної громади: </w:t>
            </w:r>
            <w:r>
              <w:rPr>
                <w:sz w:val="20"/>
                <w:lang w:val="uk-UA"/>
              </w:rPr>
              <w:t xml:space="preserve">60 </w:t>
            </w:r>
            <w:r w:rsidRPr="00C74D61">
              <w:rPr>
                <w:sz w:val="20"/>
              </w:rPr>
              <w:t xml:space="preserve"> випад</w:t>
            </w:r>
            <w:r>
              <w:rPr>
                <w:sz w:val="20"/>
                <w:lang w:val="uk-UA"/>
              </w:rPr>
              <w:t xml:space="preserve">ків </w:t>
            </w:r>
            <w:r w:rsidRPr="00C74D61">
              <w:rPr>
                <w:sz w:val="20"/>
              </w:rPr>
              <w:t>вперше виявленого туберкульозу</w:t>
            </w:r>
            <w:r>
              <w:rPr>
                <w:sz w:val="20"/>
                <w:lang w:val="uk-UA"/>
              </w:rPr>
              <w:t xml:space="preserve"> за І півріччя,</w:t>
            </w:r>
            <w:r w:rsidRPr="00C74D61">
              <w:rPr>
                <w:sz w:val="20"/>
              </w:rPr>
              <w:t xml:space="preserve"> що у розрахунку на 100 тисяч населення складає</w:t>
            </w:r>
            <w:r>
              <w:rPr>
                <w:sz w:val="20"/>
              </w:rPr>
              <w:t xml:space="preserve"> </w:t>
            </w:r>
            <w:r>
              <w:rPr>
                <w:sz w:val="20"/>
                <w:lang w:val="uk-UA"/>
              </w:rPr>
              <w:t>24,9; за аналогічний період 2023 року 69 випадків, показник на 100 тис. населення становить 28,7.</w:t>
            </w:r>
            <w:r w:rsidRPr="00C74D61">
              <w:rPr>
                <w:sz w:val="20"/>
              </w:rPr>
              <w:t xml:space="preserve">  Протягом звітного періоду поточного року, так як і за аналогічний період минулого, в закладах охорони здоров'я Рівненської міської ради не зареєстровано жодного випадку смертності від туберкульозу серед пацієнтів, що отримували медичні послуги в медичних установах міста.</w:t>
            </w:r>
            <w:r>
              <w:rPr>
                <w:sz w:val="20"/>
                <w:lang w:val="uk-UA"/>
              </w:rPr>
              <w:t xml:space="preserve"> </w:t>
            </w:r>
          </w:p>
          <w:p w:rsidR="008E7C7C" w:rsidRPr="00DE45FE" w:rsidRDefault="008E7C7C" w:rsidP="00180AFE">
            <w:pPr>
              <w:jc w:val="both"/>
              <w:rPr>
                <w:sz w:val="20"/>
                <w:szCs w:val="20"/>
                <w:lang w:val="uk-UA"/>
              </w:rPr>
            </w:pPr>
            <w:r w:rsidRPr="003D760B">
              <w:rPr>
                <w:sz w:val="20"/>
                <w:lang w:val="uk-UA"/>
              </w:rPr>
              <w:t xml:space="preserve">     </w:t>
            </w:r>
            <w:r w:rsidRPr="005335D4">
              <w:rPr>
                <w:sz w:val="20"/>
                <w:lang w:val="uk-UA"/>
              </w:rPr>
              <w:t>Окрем</w:t>
            </w:r>
            <w:r>
              <w:rPr>
                <w:sz w:val="20"/>
                <w:lang w:val="uk-UA"/>
              </w:rPr>
              <w:t>і медичні</w:t>
            </w:r>
            <w:r w:rsidRPr="005335D4">
              <w:rPr>
                <w:sz w:val="20"/>
                <w:lang w:val="uk-UA"/>
              </w:rPr>
              <w:t xml:space="preserve"> заклад</w:t>
            </w:r>
            <w:r>
              <w:rPr>
                <w:sz w:val="20"/>
                <w:lang w:val="uk-UA"/>
              </w:rPr>
              <w:t>и Рівненської міської ради надавали медичні послуги пацієнтам із туберкульозом,</w:t>
            </w:r>
            <w:r w:rsidRPr="005335D4">
              <w:rPr>
                <w:sz w:val="20"/>
                <w:lang w:val="uk-UA"/>
              </w:rPr>
              <w:t xml:space="preserve"> </w:t>
            </w:r>
            <w:r>
              <w:rPr>
                <w:sz w:val="20"/>
                <w:lang w:val="uk-UA"/>
              </w:rPr>
              <w:t>в тому числі і в рамках договору з НСЗУ за програмою медичних гарантій за пакетом</w:t>
            </w:r>
            <w:r w:rsidRPr="005335D4">
              <w:rPr>
                <w:sz w:val="20"/>
                <w:lang w:val="uk-UA"/>
              </w:rPr>
              <w:t xml:space="preserve"> медичних послуг «Супровід та лікування дорослих та дітей, хворих на туберкульоз, на первинному рівні медичної допомоги» на 202</w:t>
            </w:r>
            <w:r>
              <w:rPr>
                <w:sz w:val="20"/>
                <w:lang w:val="uk-UA"/>
              </w:rPr>
              <w:t xml:space="preserve">4   </w:t>
            </w:r>
            <w:r w:rsidRPr="005335D4">
              <w:rPr>
                <w:sz w:val="20"/>
                <w:lang w:val="uk-UA"/>
              </w:rPr>
              <w:t xml:space="preserve"> рік. </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3.2.</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Впровадження заходів, спрямованих на збереження психічного здоров’я та психосоціальної підтримки населення</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 xml:space="preserve">КНП «ЦПМСД «Центральний» РМР, КНП «ЦПМСД «Ювілейний» РМР, КНП «ЦПМСД «Північний» РМР, </w:t>
            </w:r>
            <w:r w:rsidRPr="00C74D61">
              <w:rPr>
                <w:color w:val="000000"/>
                <w:sz w:val="20"/>
                <w:szCs w:val="20"/>
                <w:lang w:val="uk-UA"/>
              </w:rPr>
              <w:t xml:space="preserve"> </w:t>
            </w:r>
            <w:r w:rsidRPr="00C74D61">
              <w:rPr>
                <w:color w:val="000000"/>
                <w:sz w:val="20"/>
                <w:szCs w:val="20"/>
              </w:rPr>
              <w:t>КНП «ЦМЛ» РМР, КНП «МЛ №2» РМР,</w:t>
            </w:r>
            <w:r w:rsidRPr="00C74D61">
              <w:rPr>
                <w:color w:val="000000"/>
                <w:sz w:val="20"/>
                <w:szCs w:val="20"/>
                <w:lang w:val="uk-UA"/>
              </w:rPr>
              <w:t xml:space="preserve"> </w:t>
            </w:r>
            <w:r w:rsidRPr="00C74D61">
              <w:rPr>
                <w:color w:val="000000"/>
                <w:sz w:val="20"/>
                <w:szCs w:val="20"/>
              </w:rPr>
              <w:t>КНП «МДЛ» РМР, КНП «ПБ» РМР, КНП «МСП»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виконані заходи за звітний період</w:t>
            </w:r>
          </w:p>
        </w:tc>
        <w:tc>
          <w:tcPr>
            <w:tcW w:w="5940" w:type="dxa"/>
          </w:tcPr>
          <w:p w:rsidR="008E7C7C" w:rsidRPr="00C74D61" w:rsidRDefault="008E7C7C" w:rsidP="00C74D61">
            <w:pPr>
              <w:jc w:val="both"/>
              <w:rPr>
                <w:sz w:val="20"/>
              </w:rPr>
            </w:pPr>
            <w:r w:rsidRPr="00C74D61">
              <w:rPr>
                <w:sz w:val="20"/>
                <w:lang w:val="uk-UA"/>
              </w:rPr>
              <w:t xml:space="preserve">    </w:t>
            </w:r>
            <w:r w:rsidRPr="00C74D61">
              <w:rPr>
                <w:sz w:val="20"/>
              </w:rPr>
              <w:t>В закладах охорони здоров’я Рівненської міської ради впроваджуються заходи, які спрямовані на збереження психічного здоров’я та психосоціальну підтримку населення:</w:t>
            </w:r>
          </w:p>
          <w:p w:rsidR="008E7C7C" w:rsidRPr="0056423F" w:rsidRDefault="008E7C7C" w:rsidP="00C74D61">
            <w:pPr>
              <w:jc w:val="both"/>
              <w:rPr>
                <w:sz w:val="20"/>
                <w:szCs w:val="20"/>
                <w:lang w:val="uk-UA"/>
              </w:rPr>
            </w:pPr>
            <w:r w:rsidRPr="00C74D61">
              <w:rPr>
                <w:sz w:val="20"/>
              </w:rPr>
              <w:t xml:space="preserve">- у штатний розпис КНП «Центру ПМСД «Центральний» РМР введено посаду «лікаря-психолога», </w:t>
            </w:r>
            <w:r>
              <w:rPr>
                <w:sz w:val="20"/>
                <w:lang w:val="uk-UA"/>
              </w:rPr>
              <w:t xml:space="preserve">протягом звітного року </w:t>
            </w:r>
            <w:r w:rsidRPr="00C74D61">
              <w:rPr>
                <w:sz w:val="20"/>
              </w:rPr>
              <w:t>організовано роботу кабінету психологічного розвантаження за рахунок власних коштів закладу, де провод</w:t>
            </w:r>
            <w:r>
              <w:rPr>
                <w:sz w:val="20"/>
                <w:lang w:val="uk-UA"/>
              </w:rPr>
              <w:t>ились</w:t>
            </w:r>
            <w:r w:rsidRPr="00C74D61">
              <w:rPr>
                <w:sz w:val="20"/>
              </w:rPr>
              <w:t xml:space="preserve"> тренінги спрямовані на збереження психічного здоров’я та психосоціальної підтримки</w:t>
            </w:r>
            <w:r>
              <w:rPr>
                <w:sz w:val="20"/>
                <w:lang w:val="uk-UA"/>
              </w:rPr>
              <w:t>;</w:t>
            </w:r>
          </w:p>
          <w:p w:rsidR="008E7C7C" w:rsidRPr="00C74D61" w:rsidRDefault="008E7C7C" w:rsidP="00C74D61">
            <w:pPr>
              <w:jc w:val="both"/>
              <w:rPr>
                <w:sz w:val="20"/>
              </w:rPr>
            </w:pPr>
            <w:r w:rsidRPr="00C74D61">
              <w:rPr>
                <w:sz w:val="20"/>
              </w:rPr>
              <w:t>- психологічну допомогу, у разі потреби, отрим</w:t>
            </w:r>
            <w:r>
              <w:rPr>
                <w:sz w:val="20"/>
                <w:lang w:val="uk-UA"/>
              </w:rPr>
              <w:t>ували</w:t>
            </w:r>
            <w:r w:rsidRPr="00C74D61">
              <w:rPr>
                <w:sz w:val="20"/>
              </w:rPr>
              <w:t xml:space="preserve"> і пацієнтки КНП «Пологовий будинок» РМР. Штатним психологом закладу щоденно провод</w:t>
            </w:r>
            <w:r>
              <w:rPr>
                <w:sz w:val="20"/>
                <w:lang w:val="uk-UA"/>
              </w:rPr>
              <w:t>ились</w:t>
            </w:r>
            <w:r w:rsidRPr="00C74D61">
              <w:rPr>
                <w:sz w:val="20"/>
              </w:rPr>
              <w:t xml:space="preserve"> заняття у «школі батьківства» з метою підготовки фізичного та психологічного стану жінки до пологів</w:t>
            </w:r>
            <w:r>
              <w:rPr>
                <w:sz w:val="20"/>
              </w:rPr>
              <w:t>, а т</w:t>
            </w:r>
            <w:r>
              <w:rPr>
                <w:sz w:val="20"/>
                <w:lang w:val="uk-UA"/>
              </w:rPr>
              <w:t>акож у закладі відкрито відділення з фізичної та реабілітаційної медицини</w:t>
            </w:r>
            <w:r w:rsidRPr="00C74D61">
              <w:rPr>
                <w:sz w:val="20"/>
              </w:rPr>
              <w:t>;</w:t>
            </w:r>
            <w:r w:rsidRPr="00C74D61">
              <w:rPr>
                <w:color w:val="FF0000"/>
                <w:sz w:val="20"/>
              </w:rPr>
              <w:t xml:space="preserve"> </w:t>
            </w:r>
          </w:p>
          <w:p w:rsidR="008E7C7C" w:rsidRDefault="008E7C7C" w:rsidP="00C74D61">
            <w:pPr>
              <w:jc w:val="both"/>
              <w:rPr>
                <w:sz w:val="20"/>
                <w:lang w:val="uk-UA"/>
              </w:rPr>
            </w:pPr>
            <w:r w:rsidRPr="00C74D61">
              <w:rPr>
                <w:sz w:val="20"/>
              </w:rPr>
              <w:t xml:space="preserve">- </w:t>
            </w:r>
            <w:r>
              <w:rPr>
                <w:sz w:val="20"/>
                <w:lang w:val="uk-UA"/>
              </w:rPr>
              <w:t>49</w:t>
            </w:r>
            <w:r w:rsidRPr="00C74D61">
              <w:rPr>
                <w:sz w:val="20"/>
              </w:rPr>
              <w:t xml:space="preserve"> команд-практик КНП «Центр ПМСД «Ювілейний» РМР пройшли тренінг по методу </w:t>
            </w:r>
            <w:r w:rsidRPr="00C74D61">
              <w:rPr>
                <w:sz w:val="20"/>
                <w:lang w:val="en-US"/>
              </w:rPr>
              <w:t>mhG</w:t>
            </w:r>
            <w:r w:rsidRPr="00C74D61">
              <w:rPr>
                <w:sz w:val="20"/>
              </w:rPr>
              <w:t xml:space="preserve">АР. Протягом звітного періоду підготовані спеціалісти надали психологічну допомогу </w:t>
            </w:r>
            <w:r>
              <w:rPr>
                <w:sz w:val="20"/>
                <w:lang w:val="uk-UA"/>
              </w:rPr>
              <w:t>536</w:t>
            </w:r>
            <w:r w:rsidRPr="00C74D61">
              <w:rPr>
                <w:sz w:val="20"/>
              </w:rPr>
              <w:t xml:space="preserve"> особам;</w:t>
            </w:r>
          </w:p>
          <w:p w:rsidR="008E7C7C" w:rsidRPr="00C04968" w:rsidRDefault="008E7C7C" w:rsidP="00C74D61">
            <w:pPr>
              <w:jc w:val="both"/>
              <w:rPr>
                <w:sz w:val="20"/>
                <w:lang w:val="uk-UA"/>
              </w:rPr>
            </w:pPr>
            <w:r>
              <w:rPr>
                <w:sz w:val="20"/>
                <w:lang w:val="uk-UA"/>
              </w:rPr>
              <w:t xml:space="preserve">- також, медичний персонал первинного рівня надання медичної допомоги і інших закладів охорони здоров'я Рівненської міської ради первинного рівня надання медичної допомоги пройшли навчання </w:t>
            </w:r>
            <w:r w:rsidRPr="00C74D61">
              <w:rPr>
                <w:sz w:val="20"/>
              </w:rPr>
              <w:t xml:space="preserve">по методу </w:t>
            </w:r>
            <w:r w:rsidRPr="00C74D61">
              <w:rPr>
                <w:sz w:val="20"/>
                <w:lang w:val="en-US"/>
              </w:rPr>
              <w:t>mhG</w:t>
            </w:r>
            <w:r w:rsidRPr="00C74D61">
              <w:rPr>
                <w:sz w:val="20"/>
              </w:rPr>
              <w:t>АР</w:t>
            </w:r>
            <w:r>
              <w:rPr>
                <w:sz w:val="20"/>
                <w:lang w:val="uk-UA"/>
              </w:rPr>
              <w:t>. В цілому понад 90% медичного персоналу, що забезпечують надання медичної допомоги населенню на первинному рівні  пройшли навчання з н</w:t>
            </w:r>
            <w:r w:rsidRPr="00C04968">
              <w:rPr>
                <w:sz w:val="20"/>
                <w:lang w:val="uk-UA"/>
              </w:rPr>
              <w:t>адання психологі</w:t>
            </w:r>
            <w:r>
              <w:rPr>
                <w:sz w:val="20"/>
                <w:lang w:val="uk-UA"/>
              </w:rPr>
              <w:t xml:space="preserve">чної допомоги дорослим та дітям та отримали відповідні сертифікати; </w:t>
            </w:r>
          </w:p>
          <w:p w:rsidR="008E7C7C" w:rsidRPr="00C74D61" w:rsidRDefault="008E7C7C" w:rsidP="00C74D61">
            <w:pPr>
              <w:jc w:val="both"/>
              <w:rPr>
                <w:sz w:val="20"/>
              </w:rPr>
            </w:pPr>
            <w:r w:rsidRPr="00C74D61">
              <w:rPr>
                <w:sz w:val="20"/>
              </w:rPr>
              <w:t>- психологічна допомога у вигляді бесід, консультувань та групов</w:t>
            </w:r>
            <w:r>
              <w:rPr>
                <w:sz w:val="20"/>
              </w:rPr>
              <w:t>их практики забезпечу</w:t>
            </w:r>
            <w:r>
              <w:rPr>
                <w:sz w:val="20"/>
                <w:lang w:val="uk-UA"/>
              </w:rPr>
              <w:t>валась</w:t>
            </w:r>
            <w:r w:rsidRPr="00C74D61">
              <w:rPr>
                <w:sz w:val="20"/>
              </w:rPr>
              <w:t xml:space="preserve"> пацієнтам і на базі багатопрофільних лікарень Рівненської міської ради, як для  дорослого населення, так і для дитячого;</w:t>
            </w:r>
          </w:p>
          <w:p w:rsidR="008E7C7C" w:rsidRDefault="008E7C7C" w:rsidP="00B3387E">
            <w:pPr>
              <w:jc w:val="both"/>
              <w:rPr>
                <w:sz w:val="20"/>
                <w:szCs w:val="20"/>
                <w:lang w:val="uk-UA"/>
              </w:rPr>
            </w:pPr>
            <w:r>
              <w:rPr>
                <w:sz w:val="20"/>
                <w:lang w:val="uk-UA"/>
              </w:rPr>
              <w:t>- центрами первинної медико-санітарної допомоги Рівненської міської ради на 2024 рік підписано договори з НСЗУ за напрямом (пакет):</w:t>
            </w:r>
            <w:r>
              <w:rPr>
                <w:color w:val="000000"/>
                <w:sz w:val="20"/>
                <w:szCs w:val="20"/>
                <w:lang w:val="uk-UA"/>
              </w:rPr>
              <w:t xml:space="preserve"> </w:t>
            </w:r>
            <w:r>
              <w:rPr>
                <w:sz w:val="20"/>
                <w:szCs w:val="20"/>
                <w:lang w:val="uk-UA"/>
              </w:rPr>
              <w:t>«</w:t>
            </w:r>
            <w:r w:rsidRPr="009D3CBF">
              <w:rPr>
                <w:sz w:val="20"/>
                <w:szCs w:val="20"/>
                <w:lang w:val="uk-UA"/>
              </w:rPr>
              <w:t>Супровід і лікування дорослих та дітей з психічними розладами на первинному рівні медичної допомоги</w:t>
            </w:r>
            <w:r>
              <w:rPr>
                <w:sz w:val="20"/>
                <w:szCs w:val="20"/>
                <w:lang w:val="uk-UA"/>
              </w:rPr>
              <w:t>»;</w:t>
            </w:r>
          </w:p>
          <w:p w:rsidR="008E7C7C" w:rsidRPr="00B3387E" w:rsidRDefault="008E7C7C" w:rsidP="00C74D61">
            <w:pPr>
              <w:jc w:val="both"/>
              <w:rPr>
                <w:sz w:val="20"/>
                <w:szCs w:val="20"/>
                <w:lang w:val="uk-UA"/>
              </w:rPr>
            </w:pPr>
            <w:r>
              <w:rPr>
                <w:sz w:val="20"/>
                <w:szCs w:val="20"/>
                <w:lang w:val="uk-UA"/>
              </w:rPr>
              <w:t>- представника УОЗ ВК РМР включено до складу регіональних координаторів з послуг ментального здоров</w:t>
            </w:r>
            <w:r w:rsidRPr="00365349">
              <w:rPr>
                <w:sz w:val="20"/>
                <w:szCs w:val="20"/>
              </w:rPr>
              <w:t>’</w:t>
            </w:r>
            <w:r>
              <w:rPr>
                <w:sz w:val="20"/>
                <w:szCs w:val="20"/>
                <w:lang w:val="uk-UA"/>
              </w:rPr>
              <w:t>я від Рівненської територіальної громади.</w:t>
            </w:r>
          </w:p>
        </w:tc>
      </w:tr>
      <w:tr w:rsidR="008E7C7C" w:rsidRPr="00C04968"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3.3.</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діагностики та лікування опортуністичних інфекцій хворих на ВІЛ/СНІД</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br/>
              <w:t xml:space="preserve">КНП «ЦПМСД «Північний» РМР, </w:t>
            </w:r>
            <w:r w:rsidRPr="00C74D61">
              <w:rPr>
                <w:color w:val="000000"/>
                <w:sz w:val="20"/>
                <w:szCs w:val="20"/>
                <w:lang w:val="uk-UA"/>
              </w:rPr>
              <w:t xml:space="preserve"> </w:t>
            </w:r>
            <w:r w:rsidRPr="00C74D61">
              <w:rPr>
                <w:color w:val="000000"/>
                <w:sz w:val="20"/>
                <w:szCs w:val="20"/>
              </w:rPr>
              <w:t>КНП «ЦМЛ» РМР, КНП «МЛ №2» РМР,</w:t>
            </w:r>
            <w:r w:rsidRPr="00C74D61">
              <w:rPr>
                <w:color w:val="000000"/>
                <w:sz w:val="20"/>
                <w:szCs w:val="20"/>
                <w:lang w:val="uk-UA"/>
              </w:rPr>
              <w:t xml:space="preserve"> </w:t>
            </w:r>
            <w:r w:rsidRPr="00C74D61">
              <w:rPr>
                <w:color w:val="000000"/>
                <w:sz w:val="20"/>
                <w:szCs w:val="20"/>
              </w:rPr>
              <w:t>КНП «МДЛ» РМР, КНП «ПБ» РМР</w:t>
            </w:r>
          </w:p>
        </w:tc>
        <w:tc>
          <w:tcPr>
            <w:tcW w:w="2160" w:type="dxa"/>
            <w:vAlign w:val="center"/>
          </w:tcPr>
          <w:p w:rsidR="008E7C7C" w:rsidRPr="00C74D61" w:rsidRDefault="008E7C7C" w:rsidP="00C74D61">
            <w:pPr>
              <w:jc w:val="center"/>
              <w:rPr>
                <w:sz w:val="20"/>
                <w:szCs w:val="20"/>
                <w:lang w:val="uk-UA"/>
              </w:rPr>
            </w:pPr>
            <w:r w:rsidRPr="00C74D61">
              <w:rPr>
                <w:sz w:val="20"/>
              </w:rPr>
              <w:t xml:space="preserve">– кількість </w:t>
            </w:r>
            <w:r w:rsidRPr="00C74D61">
              <w:rPr>
                <w:sz w:val="20"/>
                <w:lang w:val="uk-UA"/>
              </w:rPr>
              <w:t>осіб яким надано послугу</w:t>
            </w:r>
          </w:p>
        </w:tc>
        <w:tc>
          <w:tcPr>
            <w:tcW w:w="5940" w:type="dxa"/>
          </w:tcPr>
          <w:p w:rsidR="008E7C7C" w:rsidRPr="003D760B" w:rsidRDefault="008E7C7C" w:rsidP="00C74D61">
            <w:pPr>
              <w:shd w:val="clear" w:color="auto" w:fill="FFFFFF"/>
              <w:jc w:val="both"/>
              <w:rPr>
                <w:sz w:val="20"/>
                <w:lang w:val="uk-UA"/>
              </w:rPr>
            </w:pPr>
            <w:r w:rsidRPr="003D760B">
              <w:rPr>
                <w:sz w:val="20"/>
                <w:lang w:val="uk-UA"/>
              </w:rPr>
              <w:t xml:space="preserve">    В закладах охорони здоров'я Рівненської міської ради забезпечено діагностику, лікування та медикаментозну профілактику опортуністичних інфекцій, супутніх захворювань, ускладнень ВІЛ-інфекції та хвороб, зумовлених ВІЛ, у ВІЛ-інфікованих осіб.</w:t>
            </w:r>
          </w:p>
          <w:p w:rsidR="008E7C7C" w:rsidRPr="003D760B" w:rsidRDefault="008E7C7C" w:rsidP="00C74D61">
            <w:pPr>
              <w:shd w:val="clear" w:color="auto" w:fill="FFFFFF"/>
              <w:jc w:val="both"/>
              <w:rPr>
                <w:sz w:val="20"/>
                <w:lang w:val="uk-UA"/>
              </w:rPr>
            </w:pPr>
            <w:r w:rsidRPr="003D760B">
              <w:rPr>
                <w:sz w:val="20"/>
                <w:lang w:val="uk-UA"/>
              </w:rPr>
              <w:t xml:space="preserve">     Протягом </w:t>
            </w:r>
            <w:r>
              <w:rPr>
                <w:sz w:val="20"/>
                <w:lang w:val="uk-UA"/>
              </w:rPr>
              <w:t xml:space="preserve">звітного періоду </w:t>
            </w:r>
            <w:r w:rsidRPr="003D760B">
              <w:rPr>
                <w:sz w:val="20"/>
                <w:lang w:val="uk-UA"/>
              </w:rPr>
              <w:t xml:space="preserve">в КНП «Центральна міська лікарня» РМР стаціонарно проліковано </w:t>
            </w:r>
            <w:r>
              <w:rPr>
                <w:sz w:val="20"/>
                <w:szCs w:val="20"/>
                <w:lang w:val="uk-UA"/>
              </w:rPr>
              <w:t>21</w:t>
            </w:r>
            <w:r>
              <w:rPr>
                <w:sz w:val="20"/>
                <w:lang w:val="uk-UA"/>
              </w:rPr>
              <w:t xml:space="preserve"> особа </w:t>
            </w:r>
            <w:r w:rsidRPr="003D760B">
              <w:rPr>
                <w:sz w:val="20"/>
                <w:lang w:val="uk-UA"/>
              </w:rPr>
              <w:t>на ВІЛ/СНІД.</w:t>
            </w:r>
          </w:p>
          <w:p w:rsidR="008E7C7C" w:rsidRPr="00C04968" w:rsidRDefault="008E7C7C" w:rsidP="00C74D61">
            <w:pPr>
              <w:shd w:val="clear" w:color="auto" w:fill="FFFFFF"/>
              <w:jc w:val="both"/>
              <w:rPr>
                <w:sz w:val="20"/>
                <w:szCs w:val="20"/>
                <w:lang w:val="uk-UA"/>
              </w:rPr>
            </w:pPr>
            <w:r w:rsidRPr="003D760B">
              <w:rPr>
                <w:sz w:val="20"/>
                <w:lang w:val="uk-UA"/>
              </w:rPr>
              <w:t xml:space="preserve">     </w:t>
            </w:r>
            <w:r w:rsidRPr="00C04968">
              <w:rPr>
                <w:sz w:val="20"/>
                <w:lang w:val="uk-UA"/>
              </w:rPr>
              <w:t xml:space="preserve">На сьогоднішній день усі бажаючі мають можливість безкоштовно та анонімно пройти обстеження на ВІЛ-інфекцію/СНІД за допомогою тест-систем, звернувшись в заклади охорони здоров'я первинного рівня надання медичної допомоги чи Відділ профілактики та боротьби зі СНІДом Центру соціальнозначущих захворювань КП «Обласний інформаційно-аналітичний центр медичної статистики» РОР. </w:t>
            </w:r>
          </w:p>
          <w:p w:rsidR="008E7C7C" w:rsidRPr="003D760B" w:rsidRDefault="008E7C7C" w:rsidP="00C74D61">
            <w:pPr>
              <w:jc w:val="both"/>
              <w:rPr>
                <w:sz w:val="20"/>
                <w:szCs w:val="20"/>
                <w:lang w:val="uk-UA"/>
              </w:rPr>
            </w:pPr>
            <w:r w:rsidRPr="00C04968">
              <w:rPr>
                <w:sz w:val="20"/>
                <w:lang w:val="uk-UA"/>
              </w:rPr>
              <w:t xml:space="preserve">     </w:t>
            </w:r>
            <w:bookmarkStart w:id="0" w:name="_Hlk157418418"/>
            <w:r w:rsidRPr="00C04968">
              <w:rPr>
                <w:sz w:val="20"/>
                <w:lang w:val="uk-UA"/>
              </w:rPr>
              <w:t xml:space="preserve">За даними відділу профілактики та боротьби зі СНІДом Центру соціальнозначущих захворювань КП «Обласний інформаційно-аналітичний центр медичної статистики» РОР протягом </w:t>
            </w:r>
            <w:r>
              <w:rPr>
                <w:sz w:val="20"/>
                <w:lang w:val="uk-UA"/>
              </w:rPr>
              <w:t>звітнього періоду</w:t>
            </w:r>
            <w:r w:rsidRPr="003D760B">
              <w:rPr>
                <w:sz w:val="20"/>
                <w:lang w:val="uk-UA"/>
              </w:rPr>
              <w:t xml:space="preserve"> </w:t>
            </w:r>
            <w:r w:rsidRPr="00C04968">
              <w:rPr>
                <w:sz w:val="20"/>
                <w:lang w:val="uk-UA"/>
              </w:rPr>
              <w:t>202</w:t>
            </w:r>
            <w:r>
              <w:rPr>
                <w:sz w:val="20"/>
                <w:lang w:val="uk-UA"/>
              </w:rPr>
              <w:t>4</w:t>
            </w:r>
            <w:r w:rsidRPr="00C04968">
              <w:rPr>
                <w:sz w:val="20"/>
                <w:lang w:val="uk-UA"/>
              </w:rPr>
              <w:t xml:space="preserve"> року заклада</w:t>
            </w:r>
            <w:r>
              <w:rPr>
                <w:sz w:val="20"/>
                <w:lang w:val="uk-UA"/>
              </w:rPr>
              <w:t>ми</w:t>
            </w:r>
            <w:r w:rsidRPr="00C04968">
              <w:rPr>
                <w:sz w:val="20"/>
                <w:lang w:val="uk-UA"/>
              </w:rPr>
              <w:t xml:space="preserve"> охорони здоров'я Рівненської міської ради проведено діагностику на ВІЛ-інфекцію/СНІД для </w:t>
            </w:r>
            <w:r>
              <w:rPr>
                <w:sz w:val="20"/>
                <w:lang w:val="uk-UA"/>
              </w:rPr>
              <w:t>9697осіб</w:t>
            </w:r>
            <w:r w:rsidRPr="003D760B">
              <w:rPr>
                <w:sz w:val="20"/>
                <w:lang w:val="uk-UA"/>
              </w:rPr>
              <w:t xml:space="preserve">, в тому числі </w:t>
            </w:r>
            <w:r>
              <w:rPr>
                <w:sz w:val="20"/>
                <w:lang w:val="uk-UA"/>
              </w:rPr>
              <w:t>2457</w:t>
            </w:r>
            <w:r w:rsidRPr="003D760B">
              <w:rPr>
                <w:sz w:val="20"/>
                <w:lang w:val="uk-UA"/>
              </w:rPr>
              <w:t xml:space="preserve"> вагітним</w:t>
            </w:r>
            <w:bookmarkEnd w:id="0"/>
            <w:r w:rsidRPr="003D760B">
              <w:rPr>
                <w:sz w:val="20"/>
                <w:lang w:val="uk-UA"/>
              </w:rPr>
              <w:t>.</w:t>
            </w:r>
            <w:r>
              <w:rPr>
                <w:sz w:val="20"/>
                <w:lang w:val="uk-UA"/>
              </w:rPr>
              <w:t xml:space="preserve">   </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3.4.</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Забезпечення надання медико-соціальних послуг для супроводу хворих на туберкульоз, в тому числі ВІЛ/ТБ, в неурядових організацій понад гарантований державою безоплатний пакет </w:t>
            </w:r>
          </w:p>
          <w:p w:rsidR="008E7C7C" w:rsidRPr="00C74D61" w:rsidRDefault="008E7C7C" w:rsidP="00C74D61">
            <w:pPr>
              <w:jc w:val="center"/>
              <w:rPr>
                <w:color w:val="000000"/>
                <w:sz w:val="20"/>
                <w:szCs w:val="20"/>
              </w:rPr>
            </w:pPr>
            <w:r w:rsidRPr="00C74D61">
              <w:rPr>
                <w:color w:val="000000"/>
                <w:sz w:val="20"/>
                <w:szCs w:val="20"/>
              </w:rPr>
              <w:t>медичних послуг</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 xml:space="preserve">КНП «ЦПМСД «Центральний» РМР, КНП «ЦПМСД «Ювілейний» РМР, КНП «ЦПМСД «Північний» РМР, КНП «МЛ №2» РМР, </w:t>
            </w:r>
          </w:p>
          <w:p w:rsidR="008E7C7C" w:rsidRPr="00C74D61" w:rsidRDefault="008E7C7C" w:rsidP="00C74D61">
            <w:pPr>
              <w:jc w:val="center"/>
              <w:rPr>
                <w:color w:val="000000"/>
                <w:sz w:val="20"/>
                <w:szCs w:val="20"/>
              </w:rPr>
            </w:pPr>
            <w:r w:rsidRPr="00C74D61">
              <w:rPr>
                <w:color w:val="000000"/>
                <w:sz w:val="20"/>
                <w:szCs w:val="20"/>
              </w:rPr>
              <w:t>КНП «МДЛ»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кількість осіб яким надано послугу</w:t>
            </w:r>
          </w:p>
        </w:tc>
        <w:tc>
          <w:tcPr>
            <w:tcW w:w="5940" w:type="dxa"/>
          </w:tcPr>
          <w:p w:rsidR="008E7C7C" w:rsidRPr="003D760B" w:rsidRDefault="008E7C7C" w:rsidP="00C74D61">
            <w:pPr>
              <w:jc w:val="both"/>
              <w:rPr>
                <w:sz w:val="20"/>
                <w:lang w:val="uk-UA"/>
              </w:rPr>
            </w:pPr>
            <w:r w:rsidRPr="003D760B">
              <w:rPr>
                <w:sz w:val="20"/>
                <w:lang w:val="uk-UA"/>
              </w:rPr>
              <w:t xml:space="preserve">    Головними причинами розвитку захворювання на туберкульоз слід вважати такі фактори, як погані умови життєдіяльності в соціальному та екологічному плані, неповноцінний раціон та незбалансоване харчування, недотримання рекомендацій  лікування, асоціальний рівень життя, тощо. Окрім того, протягом  останніх років на збільшення захворюваності на туберкульоз у Рівненській територіальній громаді має вплив пандемія </w:t>
            </w:r>
            <w:r w:rsidRPr="003D760B">
              <w:rPr>
                <w:sz w:val="20"/>
              </w:rPr>
              <w:t>COVID</w:t>
            </w:r>
            <w:r w:rsidRPr="003D760B">
              <w:rPr>
                <w:sz w:val="20"/>
                <w:lang w:val="uk-UA"/>
              </w:rPr>
              <w:t xml:space="preserve">-19 (тимчасові обмеження надання планових медичних послуг) та у поточному році - війна в державі (внутрішні переміщення осіб із гарячих точок які залишились в Рівненській територіальній громаді, відсутність профілактичного огляду, що призводить до пізнього виявлення захворювань, тощо). </w:t>
            </w:r>
          </w:p>
          <w:p w:rsidR="008E7C7C" w:rsidRPr="003D760B" w:rsidRDefault="008E7C7C" w:rsidP="00C74D61">
            <w:pPr>
              <w:jc w:val="both"/>
              <w:rPr>
                <w:sz w:val="20"/>
                <w:lang w:val="uk-UA"/>
              </w:rPr>
            </w:pPr>
            <w:r w:rsidRPr="003D760B">
              <w:rPr>
                <w:sz w:val="20"/>
                <w:lang w:val="uk-UA"/>
              </w:rPr>
              <w:t xml:space="preserve">     Одним із напрямків підтримки пацієнтів із туберкульозом, що забезпечує прихильність до лікування та мінімізує ризики відриву від лікування, є медико-соціальний супровід.  </w:t>
            </w:r>
          </w:p>
          <w:p w:rsidR="008E7C7C" w:rsidRDefault="008E7C7C" w:rsidP="00C74D61">
            <w:pPr>
              <w:jc w:val="both"/>
              <w:rPr>
                <w:sz w:val="20"/>
                <w:lang w:val="uk-UA"/>
              </w:rPr>
            </w:pPr>
            <w:r w:rsidRPr="003D760B">
              <w:rPr>
                <w:sz w:val="20"/>
                <w:lang w:val="uk-UA"/>
              </w:rPr>
              <w:t xml:space="preserve">     Медико-соціальний підхід до лікування туберкульозу має доведену ефективність та здійснює безпосередній вплив на завершення лікування пацієнтами, а отже, і має вплив на </w:t>
            </w:r>
            <w:r w:rsidRPr="006A4B57">
              <w:rPr>
                <w:sz w:val="20"/>
                <w:lang w:val="uk-UA"/>
              </w:rPr>
              <w:t>покращення епідеміологічної ситуації в цілому.</w:t>
            </w:r>
          </w:p>
          <w:p w:rsidR="008E7C7C" w:rsidRPr="003D760B" w:rsidRDefault="008E7C7C" w:rsidP="00C74D61">
            <w:pPr>
              <w:jc w:val="both"/>
              <w:rPr>
                <w:sz w:val="20"/>
                <w:szCs w:val="20"/>
                <w:lang w:val="uk-UA"/>
              </w:rPr>
            </w:pPr>
            <w:r>
              <w:rPr>
                <w:sz w:val="20"/>
                <w:lang w:val="uk-UA"/>
              </w:rPr>
              <w:t xml:space="preserve">      Протягом звітнього періоду послуга із медико-соціального супроводу забезпечувалась для 1 особи у  КПН «Міська лікарня № 2» РМР. </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6A4B57" w:rsidRDefault="008E7C7C" w:rsidP="00C74D61">
            <w:pPr>
              <w:jc w:val="center"/>
              <w:rPr>
                <w:color w:val="000000"/>
                <w:sz w:val="20"/>
                <w:szCs w:val="20"/>
                <w:lang w:val="uk-UA"/>
              </w:rPr>
            </w:pPr>
            <w:r w:rsidRPr="006A4B57">
              <w:rPr>
                <w:color w:val="000000"/>
                <w:sz w:val="20"/>
                <w:szCs w:val="20"/>
                <w:lang w:val="uk-UA"/>
              </w:rPr>
              <w:t>3.5.</w:t>
            </w:r>
          </w:p>
        </w:tc>
        <w:tc>
          <w:tcPr>
            <w:tcW w:w="2520" w:type="dxa"/>
            <w:vAlign w:val="center"/>
          </w:tcPr>
          <w:p w:rsidR="008E7C7C" w:rsidRPr="00C74D61" w:rsidRDefault="008E7C7C" w:rsidP="00C74D61">
            <w:pPr>
              <w:jc w:val="center"/>
              <w:rPr>
                <w:color w:val="000000"/>
                <w:sz w:val="20"/>
                <w:szCs w:val="20"/>
              </w:rPr>
            </w:pPr>
            <w:r w:rsidRPr="006A4B57">
              <w:rPr>
                <w:color w:val="000000"/>
                <w:sz w:val="20"/>
                <w:szCs w:val="20"/>
                <w:lang w:val="uk-UA"/>
              </w:rPr>
              <w:t xml:space="preserve">Впровадження методик ранньої діагностики онкологічних захворювань певних вікових груп та застосування скринінгових </w:t>
            </w:r>
            <w:r w:rsidRPr="00C74D61">
              <w:rPr>
                <w:color w:val="000000"/>
                <w:sz w:val="20"/>
                <w:szCs w:val="20"/>
              </w:rPr>
              <w:t>програм</w:t>
            </w:r>
          </w:p>
        </w:tc>
        <w:tc>
          <w:tcPr>
            <w:tcW w:w="2880" w:type="dxa"/>
            <w:vAlign w:val="center"/>
          </w:tcPr>
          <w:p w:rsidR="008E7C7C" w:rsidRPr="00C74D61" w:rsidRDefault="008E7C7C" w:rsidP="00C74D61">
            <w:pPr>
              <w:jc w:val="center"/>
              <w:rPr>
                <w:sz w:val="20"/>
                <w:szCs w:val="20"/>
                <w:lang w:val="uk-UA"/>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Pr>
                <w:color w:val="000000"/>
                <w:sz w:val="20"/>
                <w:szCs w:val="20"/>
                <w:lang w:val="uk-UA"/>
              </w:rPr>
              <w:t xml:space="preserve">      </w:t>
            </w:r>
            <w:r w:rsidRPr="00C74D61">
              <w:rPr>
                <w:color w:val="000000"/>
                <w:sz w:val="20"/>
                <w:szCs w:val="20"/>
              </w:rPr>
              <w:t xml:space="preserve"> КНП «ЦПМСД «Північний» РМР, </w:t>
            </w:r>
            <w:r w:rsidRPr="00C74D61">
              <w:rPr>
                <w:color w:val="000000"/>
                <w:sz w:val="20"/>
                <w:szCs w:val="20"/>
                <w:lang w:val="uk-UA"/>
              </w:rPr>
              <w:t xml:space="preserve"> </w:t>
            </w:r>
            <w:r w:rsidRPr="00C74D61">
              <w:rPr>
                <w:color w:val="000000"/>
                <w:sz w:val="20"/>
                <w:szCs w:val="20"/>
              </w:rPr>
              <w:t>КНП «ЦМЛ» РМР, КНП «МЛ №2» РМР,</w:t>
            </w:r>
            <w:r w:rsidRPr="00C74D61">
              <w:rPr>
                <w:color w:val="000000"/>
                <w:sz w:val="20"/>
                <w:szCs w:val="20"/>
                <w:lang w:val="uk-UA"/>
              </w:rPr>
              <w:t xml:space="preserve"> </w:t>
            </w:r>
            <w:r w:rsidRPr="00C74D61">
              <w:rPr>
                <w:color w:val="000000"/>
                <w:sz w:val="20"/>
                <w:szCs w:val="20"/>
              </w:rPr>
              <w:t>КНП «МДЛ» РМР, КНП «ПБ» РМР</w:t>
            </w:r>
          </w:p>
        </w:tc>
        <w:tc>
          <w:tcPr>
            <w:tcW w:w="2160" w:type="dxa"/>
            <w:vAlign w:val="center"/>
          </w:tcPr>
          <w:p w:rsidR="008E7C7C" w:rsidRPr="00C74D61" w:rsidRDefault="008E7C7C" w:rsidP="00C74D61">
            <w:pPr>
              <w:tabs>
                <w:tab w:val="left" w:pos="1275"/>
              </w:tabs>
              <w:ind w:hanging="108"/>
              <w:jc w:val="center"/>
              <w:rPr>
                <w:sz w:val="20"/>
              </w:rPr>
            </w:pPr>
            <w:r w:rsidRPr="00C74D61">
              <w:rPr>
                <w:sz w:val="20"/>
              </w:rPr>
              <w:t xml:space="preserve">– </w:t>
            </w:r>
            <w:r w:rsidRPr="00C74D61">
              <w:rPr>
                <w:sz w:val="20"/>
                <w:lang w:val="uk-UA"/>
              </w:rPr>
              <w:t>к</w:t>
            </w:r>
            <w:r w:rsidRPr="00C74D61">
              <w:rPr>
                <w:sz w:val="20"/>
              </w:rPr>
              <w:t>ількість скринінгових програм та кількість обстежених пацієнтів за звітний період;</w:t>
            </w:r>
          </w:p>
          <w:p w:rsidR="008E7C7C" w:rsidRPr="00C74D61" w:rsidRDefault="008E7C7C" w:rsidP="00C74D61">
            <w:pPr>
              <w:tabs>
                <w:tab w:val="left" w:pos="1275"/>
              </w:tabs>
              <w:ind w:hanging="108"/>
              <w:jc w:val="center"/>
              <w:rPr>
                <w:sz w:val="20"/>
              </w:rPr>
            </w:pPr>
            <w:r w:rsidRPr="00C74D61">
              <w:rPr>
                <w:sz w:val="20"/>
              </w:rPr>
              <w:t xml:space="preserve">– </w:t>
            </w:r>
            <w:r w:rsidRPr="00C74D61">
              <w:rPr>
                <w:sz w:val="20"/>
                <w:lang w:val="uk-UA"/>
              </w:rPr>
              <w:t>динаміка</w:t>
            </w:r>
            <w:r w:rsidRPr="00C74D61">
              <w:rPr>
                <w:sz w:val="20"/>
              </w:rPr>
              <w:t xml:space="preserve"> показника захворюваності на рак молочної залози, колоректальний рак, рак передміхурової залози;</w:t>
            </w:r>
          </w:p>
          <w:p w:rsidR="008E7C7C" w:rsidRPr="00C74D61" w:rsidRDefault="008E7C7C" w:rsidP="00C74D61">
            <w:pPr>
              <w:jc w:val="center"/>
              <w:rPr>
                <w:sz w:val="20"/>
                <w:szCs w:val="20"/>
                <w:lang w:val="uk-UA"/>
              </w:rPr>
            </w:pPr>
            <w:r w:rsidRPr="00C74D61">
              <w:rPr>
                <w:sz w:val="20"/>
              </w:rPr>
              <w:t xml:space="preserve">– </w:t>
            </w:r>
            <w:r w:rsidRPr="00C74D61">
              <w:rPr>
                <w:sz w:val="20"/>
                <w:lang w:val="uk-UA"/>
              </w:rPr>
              <w:t>динаміка</w:t>
            </w:r>
            <w:r w:rsidRPr="00C74D61">
              <w:rPr>
                <w:sz w:val="20"/>
              </w:rPr>
              <w:t xml:space="preserve"> відсотку раннього (І-ІІ</w:t>
            </w:r>
            <w:r w:rsidRPr="00C74D61">
              <w:rPr>
                <w:sz w:val="20"/>
                <w:lang w:val="uk-UA"/>
              </w:rPr>
              <w:t xml:space="preserve"> </w:t>
            </w:r>
            <w:r w:rsidRPr="00C74D61">
              <w:rPr>
                <w:sz w:val="20"/>
              </w:rPr>
              <w:t>ст.) виявлення раку молочної залози</w:t>
            </w:r>
          </w:p>
        </w:tc>
        <w:tc>
          <w:tcPr>
            <w:tcW w:w="5940" w:type="dxa"/>
          </w:tcPr>
          <w:p w:rsidR="008E7C7C" w:rsidRPr="00141D94" w:rsidRDefault="008E7C7C" w:rsidP="00C74D61">
            <w:pPr>
              <w:ind w:left="-101"/>
              <w:jc w:val="both"/>
              <w:rPr>
                <w:color w:val="FF0000"/>
                <w:sz w:val="20"/>
                <w:lang w:val="uk-UA"/>
              </w:rPr>
            </w:pPr>
            <w:r w:rsidRPr="00C74D61">
              <w:rPr>
                <w:color w:val="FF0000"/>
                <w:sz w:val="20"/>
                <w:lang w:val="uk-UA"/>
              </w:rPr>
              <w:t xml:space="preserve">     </w:t>
            </w:r>
            <w:r w:rsidRPr="00C74D61">
              <w:rPr>
                <w:sz w:val="20"/>
                <w:lang w:val="uk-UA"/>
              </w:rPr>
              <w:t xml:space="preserve">Впровадження методик ранньої діагностики онкологічних захворювань серед певних вікових груп та застосування скринінгових програм в закладах охорони здоров'я Рівненської міської ради дає можливість знизити показник захворюваності серед окремих вікових груп населення територіальної громади за певними нозологічними одиницями. </w:t>
            </w:r>
            <w:r w:rsidRPr="00C74D61">
              <w:rPr>
                <w:sz w:val="20"/>
              </w:rPr>
              <w:t>Так,</w:t>
            </w:r>
            <w:r>
              <w:rPr>
                <w:sz w:val="20"/>
                <w:lang w:val="uk-UA"/>
              </w:rPr>
              <w:t xml:space="preserve"> </w:t>
            </w:r>
            <w:r w:rsidRPr="00C74D61">
              <w:rPr>
                <w:sz w:val="20"/>
              </w:rPr>
              <w:t xml:space="preserve">протягом </w:t>
            </w:r>
            <w:r>
              <w:rPr>
                <w:sz w:val="20"/>
                <w:lang w:val="uk-UA"/>
              </w:rPr>
              <w:t xml:space="preserve">звітнього періоду </w:t>
            </w:r>
            <w:r w:rsidRPr="00C74D61">
              <w:rPr>
                <w:sz w:val="20"/>
              </w:rPr>
              <w:t xml:space="preserve">в закладах охорони здоров'я Рівненської міської ради </w:t>
            </w:r>
            <w:r>
              <w:rPr>
                <w:sz w:val="20"/>
                <w:lang w:val="uk-UA"/>
              </w:rPr>
              <w:t xml:space="preserve">проведено </w:t>
            </w:r>
            <w:r w:rsidRPr="00C74D61">
              <w:rPr>
                <w:sz w:val="20"/>
              </w:rPr>
              <w:t>скринінгов</w:t>
            </w:r>
            <w:r>
              <w:rPr>
                <w:sz w:val="20"/>
                <w:lang w:val="uk-UA"/>
              </w:rPr>
              <w:t>і</w:t>
            </w:r>
            <w:r w:rsidRPr="00C74D61">
              <w:rPr>
                <w:sz w:val="20"/>
              </w:rPr>
              <w:t xml:space="preserve"> програм</w:t>
            </w:r>
            <w:r>
              <w:rPr>
                <w:sz w:val="20"/>
                <w:lang w:val="uk-UA"/>
              </w:rPr>
              <w:t>и</w:t>
            </w:r>
            <w:r w:rsidRPr="00C74D61">
              <w:rPr>
                <w:sz w:val="20"/>
              </w:rPr>
              <w:t xml:space="preserve"> та </w:t>
            </w:r>
            <w:r>
              <w:rPr>
                <w:sz w:val="20"/>
                <w:lang w:val="uk-UA"/>
              </w:rPr>
              <w:t xml:space="preserve">обстеження 18 394 </w:t>
            </w:r>
            <w:r w:rsidRPr="00C74D61">
              <w:rPr>
                <w:sz w:val="20"/>
              </w:rPr>
              <w:t xml:space="preserve"> пацієнт</w:t>
            </w:r>
            <w:r>
              <w:rPr>
                <w:sz w:val="20"/>
                <w:lang w:val="uk-UA"/>
              </w:rPr>
              <w:t xml:space="preserve">ам </w:t>
            </w:r>
            <w:r w:rsidRPr="00C74D61">
              <w:rPr>
                <w:sz w:val="20"/>
              </w:rPr>
              <w:t xml:space="preserve"> на предмет онкопатології</w:t>
            </w:r>
            <w:r>
              <w:rPr>
                <w:sz w:val="20"/>
                <w:lang w:val="uk-UA"/>
              </w:rPr>
              <w:t>.</w:t>
            </w:r>
          </w:p>
          <w:p w:rsidR="008E7C7C" w:rsidRPr="004438E6" w:rsidRDefault="008E7C7C" w:rsidP="00C74D61">
            <w:pPr>
              <w:jc w:val="both"/>
              <w:rPr>
                <w:sz w:val="20"/>
                <w:lang w:val="uk-UA"/>
              </w:rPr>
            </w:pPr>
            <w:r w:rsidRPr="004438E6">
              <w:rPr>
                <w:color w:val="FF0000"/>
                <w:sz w:val="20"/>
                <w:lang w:val="uk-UA"/>
              </w:rPr>
              <w:t xml:space="preserve">     </w:t>
            </w:r>
            <w:r w:rsidRPr="004438E6">
              <w:rPr>
                <w:sz w:val="20"/>
                <w:lang w:val="uk-UA"/>
              </w:rPr>
              <w:t xml:space="preserve">За даними канцерреєстру КП «Рівненський обласний протипухлинний центр» РОР протягом звітного періоду серед рівнян вперше зареєстровано </w:t>
            </w:r>
            <w:r>
              <w:rPr>
                <w:sz w:val="20"/>
                <w:lang w:val="uk-UA"/>
              </w:rPr>
              <w:t>338</w:t>
            </w:r>
            <w:r w:rsidRPr="004438E6">
              <w:rPr>
                <w:sz w:val="20"/>
                <w:lang w:val="uk-UA"/>
              </w:rPr>
              <w:t xml:space="preserve"> випадк</w:t>
            </w:r>
            <w:r>
              <w:rPr>
                <w:sz w:val="20"/>
                <w:lang w:val="uk-UA"/>
              </w:rPr>
              <w:t>ів</w:t>
            </w:r>
            <w:r w:rsidRPr="004438E6">
              <w:rPr>
                <w:sz w:val="20"/>
                <w:lang w:val="uk-UA"/>
              </w:rPr>
              <w:t xml:space="preserve"> онкопатологій (</w:t>
            </w:r>
            <w:r>
              <w:rPr>
                <w:sz w:val="20"/>
                <w:lang w:val="uk-UA"/>
              </w:rPr>
              <w:t xml:space="preserve">І півріччя </w:t>
            </w:r>
            <w:r w:rsidRPr="004438E6">
              <w:rPr>
                <w:sz w:val="20"/>
                <w:lang w:val="uk-UA"/>
              </w:rPr>
              <w:t>202</w:t>
            </w:r>
            <w:r>
              <w:rPr>
                <w:sz w:val="20"/>
                <w:lang w:val="uk-UA"/>
              </w:rPr>
              <w:t>3</w:t>
            </w:r>
            <w:r w:rsidRPr="004438E6">
              <w:rPr>
                <w:sz w:val="20"/>
                <w:lang w:val="uk-UA"/>
              </w:rPr>
              <w:t xml:space="preserve"> року - </w:t>
            </w:r>
            <w:r>
              <w:rPr>
                <w:sz w:val="20"/>
                <w:lang w:val="uk-UA"/>
              </w:rPr>
              <w:t>338</w:t>
            </w:r>
            <w:r w:rsidRPr="004438E6">
              <w:rPr>
                <w:sz w:val="20"/>
                <w:lang w:val="uk-UA"/>
              </w:rPr>
              <w:t xml:space="preserve"> випадків), серед яких </w:t>
            </w:r>
            <w:r>
              <w:rPr>
                <w:sz w:val="20"/>
                <w:lang w:val="uk-UA"/>
              </w:rPr>
              <w:t xml:space="preserve">56 </w:t>
            </w:r>
            <w:r w:rsidRPr="004438E6">
              <w:rPr>
                <w:sz w:val="20"/>
                <w:lang w:val="uk-UA"/>
              </w:rPr>
              <w:t>випад</w:t>
            </w:r>
            <w:r>
              <w:rPr>
                <w:sz w:val="20"/>
                <w:lang w:val="uk-UA"/>
              </w:rPr>
              <w:t xml:space="preserve">ків </w:t>
            </w:r>
            <w:r w:rsidRPr="004438E6">
              <w:rPr>
                <w:sz w:val="20"/>
                <w:lang w:val="uk-UA"/>
              </w:rPr>
              <w:t>раку молочної залози (</w:t>
            </w:r>
            <w:r>
              <w:rPr>
                <w:sz w:val="20"/>
                <w:lang w:val="uk-UA"/>
              </w:rPr>
              <w:t xml:space="preserve">І півріччя </w:t>
            </w:r>
            <w:r w:rsidRPr="004438E6">
              <w:rPr>
                <w:sz w:val="20"/>
                <w:lang w:val="uk-UA"/>
              </w:rPr>
              <w:t>202</w:t>
            </w:r>
            <w:r>
              <w:rPr>
                <w:sz w:val="20"/>
                <w:lang w:val="uk-UA"/>
              </w:rPr>
              <w:t>3</w:t>
            </w:r>
            <w:r w:rsidRPr="004438E6">
              <w:rPr>
                <w:sz w:val="20"/>
                <w:lang w:val="uk-UA"/>
              </w:rPr>
              <w:t xml:space="preserve"> – </w:t>
            </w:r>
            <w:r>
              <w:rPr>
                <w:sz w:val="20"/>
                <w:lang w:val="uk-UA"/>
              </w:rPr>
              <w:t>46</w:t>
            </w:r>
            <w:r w:rsidRPr="004438E6">
              <w:rPr>
                <w:sz w:val="20"/>
                <w:lang w:val="uk-UA"/>
              </w:rPr>
              <w:t xml:space="preserve">), </w:t>
            </w:r>
            <w:r>
              <w:rPr>
                <w:sz w:val="20"/>
                <w:lang w:val="uk-UA"/>
              </w:rPr>
              <w:t>45</w:t>
            </w:r>
            <w:r w:rsidRPr="004438E6">
              <w:rPr>
                <w:sz w:val="20"/>
                <w:lang w:val="uk-UA"/>
              </w:rPr>
              <w:t xml:space="preserve"> – колоректальний рак (</w:t>
            </w:r>
            <w:r>
              <w:rPr>
                <w:sz w:val="20"/>
                <w:lang w:val="uk-UA"/>
              </w:rPr>
              <w:t xml:space="preserve">І півріччя </w:t>
            </w:r>
            <w:r w:rsidRPr="004438E6">
              <w:rPr>
                <w:sz w:val="20"/>
                <w:lang w:val="uk-UA"/>
              </w:rPr>
              <w:t>202</w:t>
            </w:r>
            <w:r>
              <w:rPr>
                <w:sz w:val="20"/>
                <w:lang w:val="uk-UA"/>
              </w:rPr>
              <w:t>3</w:t>
            </w:r>
            <w:r w:rsidRPr="004438E6">
              <w:rPr>
                <w:sz w:val="20"/>
                <w:lang w:val="uk-UA"/>
              </w:rPr>
              <w:t xml:space="preserve"> – </w:t>
            </w:r>
            <w:r>
              <w:rPr>
                <w:sz w:val="20"/>
                <w:lang w:val="uk-UA"/>
              </w:rPr>
              <w:t>55</w:t>
            </w:r>
            <w:r w:rsidRPr="004438E6">
              <w:rPr>
                <w:sz w:val="20"/>
                <w:lang w:val="uk-UA"/>
              </w:rPr>
              <w:t xml:space="preserve">) та </w:t>
            </w:r>
            <w:r>
              <w:rPr>
                <w:sz w:val="20"/>
                <w:lang w:val="uk-UA"/>
              </w:rPr>
              <w:t>29</w:t>
            </w:r>
            <w:r w:rsidRPr="004438E6">
              <w:rPr>
                <w:sz w:val="20"/>
                <w:lang w:val="uk-UA"/>
              </w:rPr>
              <w:t xml:space="preserve"> випадк</w:t>
            </w:r>
            <w:r>
              <w:rPr>
                <w:sz w:val="20"/>
                <w:lang w:val="uk-UA"/>
              </w:rPr>
              <w:t>ів</w:t>
            </w:r>
            <w:r w:rsidRPr="004438E6">
              <w:rPr>
                <w:sz w:val="20"/>
                <w:lang w:val="uk-UA"/>
              </w:rPr>
              <w:t xml:space="preserve"> раку передміхурової залози (</w:t>
            </w:r>
            <w:r>
              <w:rPr>
                <w:sz w:val="20"/>
                <w:lang w:val="uk-UA"/>
              </w:rPr>
              <w:t xml:space="preserve">І півріччя </w:t>
            </w:r>
            <w:r w:rsidRPr="004438E6">
              <w:rPr>
                <w:sz w:val="20"/>
                <w:lang w:val="uk-UA"/>
              </w:rPr>
              <w:t>202</w:t>
            </w:r>
            <w:r>
              <w:rPr>
                <w:sz w:val="20"/>
                <w:lang w:val="uk-UA"/>
              </w:rPr>
              <w:t>3</w:t>
            </w:r>
            <w:r w:rsidRPr="004438E6">
              <w:rPr>
                <w:sz w:val="20"/>
                <w:lang w:val="uk-UA"/>
              </w:rPr>
              <w:t xml:space="preserve"> – </w:t>
            </w:r>
            <w:r>
              <w:rPr>
                <w:sz w:val="20"/>
                <w:lang w:val="uk-UA"/>
              </w:rPr>
              <w:t>20</w:t>
            </w:r>
            <w:r w:rsidRPr="004438E6">
              <w:rPr>
                <w:sz w:val="20"/>
                <w:lang w:val="uk-UA"/>
              </w:rPr>
              <w:t>).</w:t>
            </w:r>
          </w:p>
          <w:p w:rsidR="008E7C7C" w:rsidRPr="00C74D61" w:rsidRDefault="008E7C7C" w:rsidP="00C74D61">
            <w:pPr>
              <w:jc w:val="both"/>
              <w:rPr>
                <w:sz w:val="20"/>
                <w:szCs w:val="20"/>
                <w:lang w:val="uk-UA"/>
              </w:rPr>
            </w:pPr>
            <w:r w:rsidRPr="004438E6">
              <w:rPr>
                <w:sz w:val="20"/>
                <w:lang w:val="uk-UA"/>
              </w:rPr>
              <w:t xml:space="preserve">     </w:t>
            </w:r>
            <w:r w:rsidRPr="00C74D61">
              <w:rPr>
                <w:sz w:val="20"/>
              </w:rPr>
              <w:t xml:space="preserve">Протягом звітного періоду на ранніх стадіях діагностовано </w:t>
            </w:r>
            <w:r>
              <w:rPr>
                <w:sz w:val="20"/>
                <w:lang w:val="uk-UA"/>
              </w:rPr>
              <w:t>75</w:t>
            </w:r>
            <w:r w:rsidRPr="00C74D61">
              <w:rPr>
                <w:sz w:val="20"/>
              </w:rPr>
              <w:t xml:space="preserve">% рак молочної залози, що є </w:t>
            </w:r>
            <w:r>
              <w:rPr>
                <w:sz w:val="20"/>
                <w:lang w:val="uk-UA"/>
              </w:rPr>
              <w:t>дещо вищим</w:t>
            </w:r>
            <w:r w:rsidRPr="00C74D61">
              <w:rPr>
                <w:sz w:val="20"/>
              </w:rPr>
              <w:t xml:space="preserve"> ніж у аналогічному періоді минулого року – </w:t>
            </w:r>
            <w:r>
              <w:rPr>
                <w:sz w:val="20"/>
                <w:lang w:val="uk-UA"/>
              </w:rPr>
              <w:t>71</w:t>
            </w:r>
            <w:r w:rsidRPr="00C74D61">
              <w:rPr>
                <w:sz w:val="20"/>
              </w:rPr>
              <w:t>,</w:t>
            </w:r>
            <w:r>
              <w:rPr>
                <w:sz w:val="20"/>
                <w:lang w:val="uk-UA"/>
              </w:rPr>
              <w:t>7</w:t>
            </w:r>
            <w:r w:rsidRPr="00C74D61">
              <w:rPr>
                <w:sz w:val="20"/>
              </w:rPr>
              <w:t>%.</w:t>
            </w:r>
          </w:p>
        </w:tc>
      </w:tr>
      <w:tr w:rsidR="008E7C7C" w:rsidRPr="00C74D61" w:rsidTr="00C74D61">
        <w:tc>
          <w:tcPr>
            <w:tcW w:w="540" w:type="dxa"/>
            <w:vMerge w:val="restart"/>
            <w:vAlign w:val="center"/>
          </w:tcPr>
          <w:p w:rsidR="008E7C7C" w:rsidRPr="00C74D61" w:rsidRDefault="008E7C7C" w:rsidP="00C74D61">
            <w:pPr>
              <w:jc w:val="center"/>
              <w:rPr>
                <w:bCs/>
                <w:color w:val="000000"/>
                <w:sz w:val="20"/>
                <w:szCs w:val="20"/>
              </w:rPr>
            </w:pPr>
            <w:r w:rsidRPr="00C74D61">
              <w:rPr>
                <w:bCs/>
                <w:color w:val="000000"/>
                <w:sz w:val="20"/>
                <w:szCs w:val="20"/>
              </w:rPr>
              <w:t>IV</w:t>
            </w:r>
          </w:p>
        </w:tc>
        <w:tc>
          <w:tcPr>
            <w:tcW w:w="1620" w:type="dxa"/>
            <w:vMerge w:val="restart"/>
            <w:vAlign w:val="center"/>
          </w:tcPr>
          <w:p w:rsidR="008E7C7C" w:rsidRPr="00C74D61" w:rsidRDefault="008E7C7C" w:rsidP="00C74D61">
            <w:pPr>
              <w:jc w:val="center"/>
              <w:rPr>
                <w:color w:val="000000"/>
                <w:sz w:val="20"/>
                <w:szCs w:val="20"/>
              </w:rPr>
            </w:pPr>
            <w:r w:rsidRPr="00C74D61">
              <w:rPr>
                <w:color w:val="000000"/>
                <w:sz w:val="20"/>
                <w:szCs w:val="20"/>
              </w:rPr>
              <w:t>Надання спеціалізованої медичної допомоги відповідно до вимог галузевих стандартів</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4.1.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лікарськими засобами, витратними матеріалами та виробами медичного призначення для надання допомоги хворим з серцево-судинними захворюваннями, проведення діагностичних коронарографій, ангіографій та інтервенційних втручань понад гарантований державою безоплатний пакет медичних послуг та лікарських засобів</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«ЦМЛ» РМР</w:t>
            </w:r>
          </w:p>
        </w:tc>
        <w:tc>
          <w:tcPr>
            <w:tcW w:w="2160" w:type="dxa"/>
          </w:tcPr>
          <w:p w:rsidR="008E7C7C" w:rsidRPr="00C74D61" w:rsidRDefault="008E7C7C" w:rsidP="00E20560">
            <w:pPr>
              <w:rPr>
                <w:sz w:val="20"/>
                <w:lang w:val="uk-UA"/>
              </w:rPr>
            </w:pPr>
            <w:r w:rsidRPr="00C74D61">
              <w:rPr>
                <w:sz w:val="20"/>
              </w:rPr>
              <w:t>–</w:t>
            </w:r>
            <w:r w:rsidRPr="00C74D61">
              <w:rPr>
                <w:sz w:val="20"/>
                <w:lang w:val="uk-UA"/>
              </w:rPr>
              <w:t xml:space="preserve"> к</w:t>
            </w:r>
            <w:r w:rsidRPr="00C74D61">
              <w:rPr>
                <w:sz w:val="20"/>
              </w:rPr>
              <w:t>ількість коронарографій</w:t>
            </w:r>
            <w:r w:rsidRPr="00C74D61">
              <w:rPr>
                <w:sz w:val="20"/>
                <w:lang w:val="uk-UA"/>
              </w:rPr>
              <w:t>, ангіографій</w:t>
            </w:r>
            <w:r w:rsidRPr="00C74D61">
              <w:rPr>
                <w:sz w:val="20"/>
              </w:rPr>
              <w:t>;</w:t>
            </w:r>
          </w:p>
          <w:p w:rsidR="008E7C7C" w:rsidRPr="00C74D61" w:rsidRDefault="008E7C7C" w:rsidP="00E20560">
            <w:pPr>
              <w:rPr>
                <w:sz w:val="20"/>
                <w:lang w:val="uk-UA"/>
              </w:rPr>
            </w:pPr>
            <w:r w:rsidRPr="00C74D61">
              <w:rPr>
                <w:sz w:val="20"/>
                <w:lang w:val="uk-UA"/>
              </w:rPr>
              <w:t>- кількість стентувань коронарних та сонних артерій;</w:t>
            </w:r>
          </w:p>
          <w:p w:rsidR="008E7C7C" w:rsidRPr="00C74D61" w:rsidRDefault="008E7C7C" w:rsidP="00E20560">
            <w:pPr>
              <w:rPr>
                <w:sz w:val="20"/>
              </w:rPr>
            </w:pPr>
            <w:r w:rsidRPr="00C74D61">
              <w:rPr>
                <w:sz w:val="20"/>
              </w:rPr>
              <w:t>– % забезпечення витратними матеріалами за бюджетні кошти;</w:t>
            </w:r>
          </w:p>
          <w:p w:rsidR="008E7C7C" w:rsidRPr="00C74D61" w:rsidRDefault="008E7C7C" w:rsidP="00E20560">
            <w:pPr>
              <w:rPr>
                <w:sz w:val="20"/>
                <w:szCs w:val="20"/>
                <w:lang w:val="uk-UA"/>
              </w:rPr>
            </w:pPr>
            <w:r w:rsidRPr="00C74D61">
              <w:rPr>
                <w:sz w:val="20"/>
              </w:rPr>
              <w:t xml:space="preserve">– </w:t>
            </w:r>
            <w:r w:rsidRPr="00C74D61">
              <w:rPr>
                <w:sz w:val="20"/>
                <w:lang w:val="uk-UA"/>
              </w:rPr>
              <w:t>динаміка</w:t>
            </w:r>
            <w:r w:rsidRPr="00C74D61">
              <w:rPr>
                <w:sz w:val="20"/>
              </w:rPr>
              <w:t xml:space="preserve"> показник</w:t>
            </w:r>
            <w:r w:rsidRPr="00C74D61">
              <w:rPr>
                <w:sz w:val="20"/>
                <w:lang w:val="uk-UA"/>
              </w:rPr>
              <w:t>а</w:t>
            </w:r>
            <w:r w:rsidRPr="00C74D61">
              <w:rPr>
                <w:sz w:val="20"/>
              </w:rPr>
              <w:t xml:space="preserve"> летальності від інфаркту міокарда та інсультів</w:t>
            </w:r>
          </w:p>
        </w:tc>
        <w:tc>
          <w:tcPr>
            <w:tcW w:w="5940" w:type="dxa"/>
          </w:tcPr>
          <w:p w:rsidR="008E7C7C" w:rsidRPr="00C74D61" w:rsidRDefault="008E7C7C" w:rsidP="00C74D61">
            <w:pPr>
              <w:jc w:val="both"/>
              <w:rPr>
                <w:sz w:val="20"/>
              </w:rPr>
            </w:pPr>
            <w:r w:rsidRPr="00C74D61">
              <w:rPr>
                <w:sz w:val="20"/>
                <w:lang w:val="uk-UA"/>
              </w:rPr>
              <w:t xml:space="preserve">   </w:t>
            </w:r>
            <w:r>
              <w:rPr>
                <w:sz w:val="20"/>
                <w:lang w:val="uk-UA"/>
              </w:rPr>
              <w:t xml:space="preserve">За звітній період </w:t>
            </w:r>
            <w:r w:rsidRPr="00C74D61">
              <w:rPr>
                <w:sz w:val="20"/>
              </w:rPr>
              <w:t xml:space="preserve"> в КНП «Центральна міська лікарня» РМР проведено:</w:t>
            </w:r>
          </w:p>
          <w:p w:rsidR="008E7C7C" w:rsidRPr="00C74D61" w:rsidRDefault="008E7C7C" w:rsidP="00C74D61">
            <w:pPr>
              <w:jc w:val="both"/>
              <w:rPr>
                <w:sz w:val="20"/>
              </w:rPr>
            </w:pPr>
            <w:r w:rsidRPr="00C74D61">
              <w:rPr>
                <w:sz w:val="20"/>
              </w:rPr>
              <w:t xml:space="preserve">- </w:t>
            </w:r>
            <w:r>
              <w:rPr>
                <w:sz w:val="20"/>
                <w:lang w:val="uk-UA"/>
              </w:rPr>
              <w:t>485</w:t>
            </w:r>
            <w:r w:rsidRPr="00C74D61">
              <w:rPr>
                <w:sz w:val="20"/>
              </w:rPr>
              <w:t xml:space="preserve"> коронарографії; </w:t>
            </w:r>
            <w:r>
              <w:rPr>
                <w:sz w:val="20"/>
              </w:rPr>
              <w:t xml:space="preserve"> </w:t>
            </w:r>
          </w:p>
          <w:p w:rsidR="008E7C7C" w:rsidRPr="00C04968" w:rsidRDefault="008E7C7C" w:rsidP="00C74D61">
            <w:pPr>
              <w:jc w:val="both"/>
              <w:rPr>
                <w:color w:val="FF0000"/>
                <w:sz w:val="20"/>
                <w:lang w:val="uk-UA"/>
              </w:rPr>
            </w:pPr>
            <w:r w:rsidRPr="00C74D61">
              <w:rPr>
                <w:sz w:val="20"/>
              </w:rPr>
              <w:t xml:space="preserve">- </w:t>
            </w:r>
            <w:r>
              <w:rPr>
                <w:sz w:val="20"/>
                <w:lang w:val="uk-UA"/>
              </w:rPr>
              <w:t xml:space="preserve">155 </w:t>
            </w:r>
            <w:r w:rsidRPr="00C74D61">
              <w:rPr>
                <w:sz w:val="20"/>
              </w:rPr>
              <w:t>стентуван</w:t>
            </w:r>
            <w:r>
              <w:rPr>
                <w:sz w:val="20"/>
                <w:lang w:val="uk-UA"/>
              </w:rPr>
              <w:t>нь.</w:t>
            </w:r>
          </w:p>
          <w:p w:rsidR="008E7C7C" w:rsidRPr="00C74D61" w:rsidRDefault="008E7C7C" w:rsidP="00C74D61">
            <w:pPr>
              <w:jc w:val="both"/>
              <w:rPr>
                <w:sz w:val="20"/>
              </w:rPr>
            </w:pPr>
            <w:r w:rsidRPr="00C74D61">
              <w:rPr>
                <w:color w:val="FF0000"/>
                <w:sz w:val="20"/>
              </w:rPr>
              <w:t xml:space="preserve">     </w:t>
            </w:r>
            <w:r w:rsidRPr="00C74D61">
              <w:rPr>
                <w:sz w:val="20"/>
              </w:rPr>
              <w:t>Пацієнти, жителі Рівненської територіальної громади, з гострим інфарктом міокарда на 10</w:t>
            </w:r>
            <w:r>
              <w:rPr>
                <w:sz w:val="20"/>
                <w:lang w:val="uk-UA"/>
              </w:rPr>
              <w:t xml:space="preserve">0% </w:t>
            </w:r>
            <w:r w:rsidRPr="00C74D61">
              <w:rPr>
                <w:sz w:val="20"/>
              </w:rPr>
              <w:t>забезпечені коронарографічними наборами.</w:t>
            </w:r>
          </w:p>
          <w:p w:rsidR="008E7C7C" w:rsidRPr="00AA3704" w:rsidRDefault="008E7C7C" w:rsidP="00C74D61">
            <w:pPr>
              <w:jc w:val="both"/>
              <w:rPr>
                <w:color w:val="FF0000"/>
                <w:sz w:val="20"/>
                <w:lang w:val="uk-UA"/>
              </w:rPr>
            </w:pPr>
            <w:r w:rsidRPr="00C74D61">
              <w:rPr>
                <w:color w:val="FF0000"/>
                <w:sz w:val="20"/>
              </w:rPr>
              <w:t xml:space="preserve">     </w:t>
            </w:r>
            <w:r w:rsidRPr="00C74D61">
              <w:rPr>
                <w:sz w:val="20"/>
              </w:rPr>
              <w:t xml:space="preserve">За звітний період летальність від інфарктів міокарда в КНП «Центральна міська лікарня» РМР становить – </w:t>
            </w:r>
            <w:r>
              <w:rPr>
                <w:sz w:val="20"/>
                <w:lang w:val="uk-UA"/>
              </w:rPr>
              <w:t>12,8</w:t>
            </w:r>
            <w:r w:rsidRPr="00C74D61">
              <w:rPr>
                <w:sz w:val="20"/>
              </w:rPr>
              <w:t xml:space="preserve"> %</w:t>
            </w:r>
            <w:r>
              <w:rPr>
                <w:sz w:val="20"/>
                <w:lang w:val="uk-UA"/>
              </w:rPr>
              <w:t>,</w:t>
            </w:r>
            <w:r w:rsidRPr="00C74D61">
              <w:rPr>
                <w:sz w:val="20"/>
              </w:rPr>
              <w:t xml:space="preserve"> а летальність від гострого мозкового інсульту с</w:t>
            </w:r>
            <w:r>
              <w:rPr>
                <w:sz w:val="20"/>
                <w:lang w:val="uk-UA"/>
              </w:rPr>
              <w:t>кладає</w:t>
            </w:r>
            <w:r w:rsidRPr="00C74D61">
              <w:rPr>
                <w:sz w:val="20"/>
              </w:rPr>
              <w:t xml:space="preserve"> -1</w:t>
            </w:r>
            <w:r>
              <w:rPr>
                <w:sz w:val="20"/>
                <w:lang w:val="uk-UA"/>
              </w:rPr>
              <w:t>6</w:t>
            </w:r>
            <w:r w:rsidRPr="00C74D61">
              <w:rPr>
                <w:sz w:val="20"/>
              </w:rPr>
              <w:t>,</w:t>
            </w:r>
            <w:r>
              <w:rPr>
                <w:sz w:val="20"/>
                <w:lang w:val="uk-UA"/>
              </w:rPr>
              <w:t xml:space="preserve">3 </w:t>
            </w:r>
            <w:r w:rsidRPr="00C74D61">
              <w:rPr>
                <w:sz w:val="20"/>
              </w:rPr>
              <w:t xml:space="preserve">% </w:t>
            </w:r>
            <w:r>
              <w:rPr>
                <w:sz w:val="20"/>
                <w:lang w:val="uk-UA"/>
              </w:rPr>
              <w:t>.</w:t>
            </w:r>
          </w:p>
          <w:p w:rsidR="008E7C7C" w:rsidRPr="00C74D61" w:rsidRDefault="008E7C7C" w:rsidP="00C74D61">
            <w:pPr>
              <w:jc w:val="both"/>
              <w:rPr>
                <w:sz w:val="20"/>
              </w:rPr>
            </w:pPr>
            <w:r w:rsidRPr="00C74D61">
              <w:rPr>
                <w:color w:val="FF0000"/>
                <w:sz w:val="20"/>
              </w:rPr>
              <w:t xml:space="preserve">     </w:t>
            </w:r>
            <w:r w:rsidRPr="00C74D61">
              <w:rPr>
                <w:sz w:val="20"/>
              </w:rPr>
              <w:t xml:space="preserve">В закладах охорони здоров'я Рівненської міської ради проводяться заходи по зниженню захворюваності та фатальних ускладнень від серцево-судинних захворювань. </w:t>
            </w:r>
          </w:p>
          <w:p w:rsidR="008E7C7C" w:rsidRPr="00C74D61" w:rsidRDefault="008E7C7C" w:rsidP="00C74D61">
            <w:pPr>
              <w:jc w:val="both"/>
              <w:rPr>
                <w:sz w:val="20"/>
                <w:szCs w:val="20"/>
                <w:lang w:val="uk-UA"/>
              </w:rPr>
            </w:pPr>
            <w:r w:rsidRPr="00C74D61">
              <w:rPr>
                <w:sz w:val="20"/>
              </w:rPr>
              <w:t xml:space="preserve">     В цілому, за даними закладів охорони здоров'я Рівненської міської ради, показник смертності від інфаркту міокарда </w:t>
            </w:r>
            <w:r>
              <w:rPr>
                <w:sz w:val="20"/>
                <w:lang w:val="uk-UA"/>
              </w:rPr>
              <w:t xml:space="preserve">за звітній період  </w:t>
            </w:r>
            <w:r w:rsidRPr="00C74D61">
              <w:rPr>
                <w:sz w:val="20"/>
              </w:rPr>
              <w:t xml:space="preserve">складає </w:t>
            </w:r>
            <w:r>
              <w:rPr>
                <w:sz w:val="20"/>
                <w:lang w:val="uk-UA"/>
              </w:rPr>
              <w:t>2</w:t>
            </w:r>
            <w:r w:rsidRPr="00C74D61">
              <w:rPr>
                <w:sz w:val="20"/>
              </w:rPr>
              <w:t>,</w:t>
            </w:r>
            <w:r>
              <w:rPr>
                <w:sz w:val="20"/>
              </w:rPr>
              <w:t>4</w:t>
            </w:r>
            <w:r w:rsidRPr="00C74D61">
              <w:rPr>
                <w:sz w:val="20"/>
              </w:rPr>
              <w:t xml:space="preserve"> %</w:t>
            </w:r>
            <w:r>
              <w:rPr>
                <w:sz w:val="20"/>
                <w:lang w:val="uk-UA"/>
              </w:rPr>
              <w:t xml:space="preserve"> від усіх зареєстрованих в закладах охорони здоров</w:t>
            </w:r>
            <w:r w:rsidRPr="00D05F35">
              <w:rPr>
                <w:sz w:val="20"/>
              </w:rPr>
              <w:t>’</w:t>
            </w:r>
            <w:r>
              <w:rPr>
                <w:sz w:val="20"/>
                <w:lang w:val="uk-UA"/>
              </w:rPr>
              <w:t>я Рівненської міської ради випадків смертності</w:t>
            </w:r>
            <w:r w:rsidRPr="00C74D61">
              <w:rPr>
                <w:sz w:val="20"/>
              </w:rPr>
              <w:t>,</w:t>
            </w:r>
            <w:r>
              <w:rPr>
                <w:sz w:val="20"/>
                <w:lang w:val="uk-UA"/>
              </w:rPr>
              <w:t xml:space="preserve"> що є</w:t>
            </w:r>
            <w:r w:rsidRPr="00C74D61">
              <w:rPr>
                <w:sz w:val="20"/>
              </w:rPr>
              <w:t xml:space="preserve"> </w:t>
            </w:r>
            <w:r>
              <w:rPr>
                <w:sz w:val="20"/>
              </w:rPr>
              <w:t>ви</w:t>
            </w:r>
            <w:r>
              <w:rPr>
                <w:sz w:val="20"/>
                <w:lang w:val="uk-UA"/>
              </w:rPr>
              <w:t>щ</w:t>
            </w:r>
            <w:r>
              <w:rPr>
                <w:sz w:val="20"/>
              </w:rPr>
              <w:t>им</w:t>
            </w:r>
            <w:r>
              <w:rPr>
                <w:sz w:val="20"/>
                <w:lang w:val="uk-UA"/>
              </w:rPr>
              <w:t xml:space="preserve"> показником за аналогічний </w:t>
            </w:r>
            <w:r w:rsidRPr="00C74D61">
              <w:rPr>
                <w:sz w:val="20"/>
              </w:rPr>
              <w:t>період минулого року</w:t>
            </w:r>
            <w:r>
              <w:rPr>
                <w:sz w:val="20"/>
                <w:lang w:val="uk-UA"/>
              </w:rPr>
              <w:t xml:space="preserve"> (2,3 % за І півріччя </w:t>
            </w:r>
            <w:r w:rsidRPr="004438E6">
              <w:rPr>
                <w:sz w:val="20"/>
                <w:lang w:val="uk-UA"/>
              </w:rPr>
              <w:t>202</w:t>
            </w:r>
            <w:r>
              <w:rPr>
                <w:sz w:val="20"/>
                <w:lang w:val="uk-UA"/>
              </w:rPr>
              <w:t>3.)</w:t>
            </w:r>
            <w:r w:rsidRPr="00C74D61">
              <w:rPr>
                <w:sz w:val="20"/>
              </w:rPr>
              <w:t xml:space="preserve">. </w:t>
            </w:r>
            <w:r>
              <w:rPr>
                <w:sz w:val="20"/>
                <w:lang w:val="uk-UA"/>
              </w:rPr>
              <w:t>С</w:t>
            </w:r>
            <w:r w:rsidRPr="00C74D61">
              <w:rPr>
                <w:sz w:val="20"/>
              </w:rPr>
              <w:t xml:space="preserve">мертність на інсульт, за даними лікувальних закладів міста, у звітному періоді поточного року </w:t>
            </w:r>
            <w:r>
              <w:rPr>
                <w:sz w:val="20"/>
                <w:lang w:val="uk-UA"/>
              </w:rPr>
              <w:t xml:space="preserve">дещо знизилась  </w:t>
            </w:r>
            <w:r w:rsidRPr="00C74D61">
              <w:rPr>
                <w:sz w:val="20"/>
              </w:rPr>
              <w:t xml:space="preserve"> та становить </w:t>
            </w:r>
            <w:r>
              <w:rPr>
                <w:sz w:val="20"/>
                <w:lang w:val="uk-UA"/>
              </w:rPr>
              <w:t>8</w:t>
            </w:r>
            <w:r w:rsidRPr="00C74D61">
              <w:rPr>
                <w:sz w:val="20"/>
              </w:rPr>
              <w:t>,</w:t>
            </w:r>
            <w:r>
              <w:rPr>
                <w:sz w:val="20"/>
                <w:lang w:val="uk-UA"/>
              </w:rPr>
              <w:t>9</w:t>
            </w:r>
            <w:r w:rsidRPr="00C74D61">
              <w:rPr>
                <w:sz w:val="20"/>
              </w:rPr>
              <w:t xml:space="preserve">% проти </w:t>
            </w:r>
            <w:r>
              <w:rPr>
                <w:sz w:val="20"/>
                <w:lang w:val="uk-UA"/>
              </w:rPr>
              <w:t>9</w:t>
            </w:r>
            <w:r w:rsidRPr="00C74D61">
              <w:rPr>
                <w:sz w:val="20"/>
              </w:rPr>
              <w:t>,</w:t>
            </w:r>
            <w:r>
              <w:rPr>
                <w:sz w:val="20"/>
                <w:lang w:val="uk-UA"/>
              </w:rPr>
              <w:t>1</w:t>
            </w:r>
            <w:r w:rsidRPr="00C74D61">
              <w:rPr>
                <w:sz w:val="20"/>
              </w:rPr>
              <w:t>%</w:t>
            </w:r>
            <w:r>
              <w:rPr>
                <w:sz w:val="20"/>
                <w:lang w:val="uk-UA"/>
              </w:rPr>
              <w:t xml:space="preserve"> за І півріччя  </w:t>
            </w:r>
            <w:r w:rsidRPr="004438E6">
              <w:rPr>
                <w:sz w:val="20"/>
                <w:lang w:val="uk-UA"/>
              </w:rPr>
              <w:t>202</w:t>
            </w:r>
            <w:r>
              <w:rPr>
                <w:sz w:val="20"/>
                <w:lang w:val="uk-UA"/>
              </w:rPr>
              <w:t>3</w:t>
            </w:r>
            <w:r w:rsidRPr="00C74D61">
              <w:rPr>
                <w:sz w:val="20"/>
              </w:rPr>
              <w:t>.</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4.2.</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Впровадження ефективних методів своєчасної діагностики та лікування дегенеративно-дистрофічних захворювань і травм великих суглобів, забезпечення імплантами та інструментарієм для надання медичної допомоги пацієнтам з ураженням опори і руху</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«ЦМЛ» РМР</w:t>
            </w:r>
          </w:p>
        </w:tc>
        <w:tc>
          <w:tcPr>
            <w:tcW w:w="2160" w:type="dxa"/>
            <w:vAlign w:val="center"/>
          </w:tcPr>
          <w:p w:rsidR="008E7C7C" w:rsidRPr="00C74D61" w:rsidRDefault="008E7C7C" w:rsidP="00C74D61">
            <w:pPr>
              <w:jc w:val="center"/>
              <w:rPr>
                <w:sz w:val="20"/>
                <w:szCs w:val="20"/>
                <w:lang w:val="uk-UA"/>
              </w:rPr>
            </w:pPr>
            <w:r w:rsidRPr="00C74D61">
              <w:rPr>
                <w:sz w:val="20"/>
                <w:lang w:val="uk-UA"/>
              </w:rPr>
              <w:t>- в</w:t>
            </w:r>
            <w:r w:rsidRPr="00C74D61">
              <w:rPr>
                <w:sz w:val="20"/>
              </w:rPr>
              <w:t>иконані заходи за звітний період</w:t>
            </w:r>
          </w:p>
        </w:tc>
        <w:tc>
          <w:tcPr>
            <w:tcW w:w="5940" w:type="dxa"/>
          </w:tcPr>
          <w:p w:rsidR="008E7C7C" w:rsidRDefault="008E7C7C" w:rsidP="00AA3704">
            <w:pPr>
              <w:jc w:val="both"/>
              <w:rPr>
                <w:sz w:val="20"/>
                <w:lang w:val="uk-UA"/>
              </w:rPr>
            </w:pPr>
            <w:r w:rsidRPr="00C74D61">
              <w:rPr>
                <w:sz w:val="20"/>
                <w:lang w:val="uk-UA"/>
              </w:rPr>
              <w:t xml:space="preserve">    КНП «Центральна Міська лікарня» РМР протягом</w:t>
            </w:r>
            <w:r>
              <w:rPr>
                <w:sz w:val="20"/>
                <w:lang w:val="uk-UA"/>
              </w:rPr>
              <w:t xml:space="preserve"> звітнього періоду </w:t>
            </w:r>
            <w:r w:rsidRPr="00C74D61">
              <w:rPr>
                <w:sz w:val="20"/>
                <w:lang w:val="uk-UA"/>
              </w:rPr>
              <w:t>202</w:t>
            </w:r>
            <w:r>
              <w:rPr>
                <w:sz w:val="20"/>
                <w:lang w:val="uk-UA"/>
              </w:rPr>
              <w:t>4</w:t>
            </w:r>
            <w:r w:rsidRPr="00C74D61">
              <w:rPr>
                <w:sz w:val="20"/>
                <w:lang w:val="uk-UA"/>
              </w:rPr>
              <w:t xml:space="preserve"> р. придбано 1</w:t>
            </w:r>
            <w:r>
              <w:rPr>
                <w:sz w:val="20"/>
                <w:lang w:val="uk-UA"/>
              </w:rPr>
              <w:t>2</w:t>
            </w:r>
            <w:r w:rsidRPr="00C74D61">
              <w:rPr>
                <w:sz w:val="20"/>
                <w:lang w:val="uk-UA"/>
              </w:rPr>
              <w:t xml:space="preserve"> комплектів кульшових суглобів</w:t>
            </w:r>
            <w:r>
              <w:rPr>
                <w:sz w:val="20"/>
                <w:lang w:val="uk-UA"/>
              </w:rPr>
              <w:t xml:space="preserve"> безцементних </w:t>
            </w:r>
            <w:r w:rsidRPr="00C74D61">
              <w:rPr>
                <w:sz w:val="20"/>
                <w:lang w:val="uk-UA"/>
              </w:rPr>
              <w:t xml:space="preserve"> з гвинтовою чашкою</w:t>
            </w:r>
            <w:r>
              <w:rPr>
                <w:sz w:val="20"/>
                <w:lang w:val="uk-UA"/>
              </w:rPr>
              <w:t xml:space="preserve"> та 4 комплекти кульшових суглобів з цементною чашою.</w:t>
            </w:r>
          </w:p>
          <w:p w:rsidR="008E7C7C" w:rsidRPr="00AA3704" w:rsidRDefault="008E7C7C" w:rsidP="00AA3704">
            <w:pPr>
              <w:jc w:val="both"/>
              <w:rPr>
                <w:sz w:val="20"/>
                <w:lang w:val="uk-UA"/>
              </w:rPr>
            </w:pPr>
            <w:r>
              <w:rPr>
                <w:sz w:val="20"/>
                <w:lang w:val="uk-UA"/>
              </w:rPr>
              <w:t xml:space="preserve">     Станом на 30.06.2024 в черзі на ендопротезування в КНП «Центральна міська лікарня» РМР перебуває 413 мешканця Рівненської міської територіальної громади, в т.ч. 321 на кульшові та 92 на колінні імплантанти. Протягом звітного періоду в КНП «Центральна міська лікарня» РМР проведено ендопротезування  4 колінного та 14 кульшових суглобів.      </w:t>
            </w:r>
          </w:p>
          <w:p w:rsidR="008E7C7C" w:rsidRPr="00C74D61" w:rsidRDefault="008E7C7C" w:rsidP="00C74D61">
            <w:pPr>
              <w:jc w:val="both"/>
              <w:rPr>
                <w:sz w:val="20"/>
                <w:szCs w:val="20"/>
                <w:lang w:val="uk-UA"/>
              </w:rPr>
            </w:pPr>
            <w:r w:rsidRPr="00AA3704">
              <w:rPr>
                <w:color w:val="FF0000"/>
                <w:sz w:val="20"/>
                <w:lang w:val="uk-UA"/>
              </w:rPr>
              <w:t xml:space="preserve">       </w:t>
            </w:r>
            <w:r w:rsidRPr="00C74D61">
              <w:rPr>
                <w:sz w:val="20"/>
              </w:rPr>
              <w:t xml:space="preserve">На проведення заходів з ендопротезування </w:t>
            </w:r>
            <w:r w:rsidRPr="00C74D61">
              <w:rPr>
                <w:sz w:val="20"/>
                <w:lang w:val="uk-UA"/>
              </w:rPr>
              <w:t>в</w:t>
            </w:r>
            <w:r w:rsidRPr="00C74D61">
              <w:rPr>
                <w:sz w:val="20"/>
              </w:rPr>
              <w:t xml:space="preserve"> місцево</w:t>
            </w:r>
            <w:r w:rsidRPr="00C74D61">
              <w:rPr>
                <w:sz w:val="20"/>
                <w:lang w:val="uk-UA"/>
              </w:rPr>
              <w:t>му</w:t>
            </w:r>
            <w:r w:rsidRPr="00C74D61">
              <w:rPr>
                <w:sz w:val="20"/>
              </w:rPr>
              <w:t xml:space="preserve"> бюджет</w:t>
            </w:r>
            <w:r w:rsidRPr="00C74D61">
              <w:rPr>
                <w:sz w:val="20"/>
                <w:lang w:val="uk-UA"/>
              </w:rPr>
              <w:t>і</w:t>
            </w:r>
            <w:r w:rsidRPr="00C74D61">
              <w:rPr>
                <w:sz w:val="20"/>
              </w:rPr>
              <w:t xml:space="preserve"> на 202</w:t>
            </w:r>
            <w:r>
              <w:rPr>
                <w:sz w:val="20"/>
                <w:lang w:val="uk-UA"/>
              </w:rPr>
              <w:t>4</w:t>
            </w:r>
            <w:r w:rsidRPr="00C74D61">
              <w:rPr>
                <w:sz w:val="20"/>
              </w:rPr>
              <w:t xml:space="preserve"> рік </w:t>
            </w:r>
            <w:r w:rsidRPr="00C74D61">
              <w:rPr>
                <w:sz w:val="20"/>
                <w:lang w:val="uk-UA"/>
              </w:rPr>
              <w:t>передбачено</w:t>
            </w:r>
            <w:r w:rsidRPr="00C74D61">
              <w:rPr>
                <w:sz w:val="20"/>
              </w:rPr>
              <w:t xml:space="preserve"> 2 млн. грн</w:t>
            </w:r>
            <w:r w:rsidRPr="00C74D61">
              <w:rPr>
                <w:sz w:val="20"/>
                <w:lang w:val="uk-UA"/>
              </w:rPr>
              <w:t>.</w:t>
            </w:r>
          </w:p>
        </w:tc>
      </w:tr>
      <w:tr w:rsidR="008E7C7C" w:rsidRPr="00C74D61"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4.3.</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Розвиток та удосконалення надання медичної допомоги за напрямом</w:t>
            </w:r>
          </w:p>
          <w:p w:rsidR="008E7C7C" w:rsidRPr="00C74D61" w:rsidRDefault="008E7C7C" w:rsidP="00C74D61">
            <w:pPr>
              <w:jc w:val="center"/>
              <w:rPr>
                <w:color w:val="000000"/>
                <w:sz w:val="20"/>
                <w:szCs w:val="20"/>
              </w:rPr>
            </w:pPr>
            <w:r w:rsidRPr="00C74D61">
              <w:rPr>
                <w:color w:val="000000"/>
                <w:sz w:val="20"/>
                <w:szCs w:val="20"/>
              </w:rPr>
              <w:t>«Трансплантація анатомічних матеріалів людини»</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«ЦМЛ» РМР</w:t>
            </w:r>
          </w:p>
        </w:tc>
        <w:tc>
          <w:tcPr>
            <w:tcW w:w="2160" w:type="dxa"/>
            <w:vAlign w:val="center"/>
          </w:tcPr>
          <w:p w:rsidR="008E7C7C" w:rsidRPr="00C74D61" w:rsidRDefault="008E7C7C" w:rsidP="00C74D61">
            <w:pPr>
              <w:jc w:val="center"/>
              <w:rPr>
                <w:sz w:val="20"/>
                <w:lang w:val="uk-UA"/>
              </w:rPr>
            </w:pPr>
            <w:r w:rsidRPr="00C74D61">
              <w:rPr>
                <w:sz w:val="20"/>
                <w:lang w:val="uk-UA"/>
              </w:rPr>
              <w:t>- в</w:t>
            </w:r>
            <w:r w:rsidRPr="00C74D61">
              <w:rPr>
                <w:sz w:val="20"/>
              </w:rPr>
              <w:t>иконані заходи за звітний період</w:t>
            </w:r>
          </w:p>
          <w:p w:rsidR="008E7C7C" w:rsidRPr="00C74D61" w:rsidRDefault="008E7C7C" w:rsidP="00C74D61">
            <w:pPr>
              <w:jc w:val="center"/>
              <w:rPr>
                <w:sz w:val="20"/>
                <w:szCs w:val="20"/>
                <w:lang w:val="uk-UA"/>
              </w:rPr>
            </w:pPr>
            <w:r w:rsidRPr="00C74D61">
              <w:rPr>
                <w:sz w:val="20"/>
                <w:szCs w:val="20"/>
                <w:lang w:val="uk-UA"/>
              </w:rPr>
              <w:t>- кількість трансплантацій проведених  в закладі</w:t>
            </w:r>
          </w:p>
        </w:tc>
        <w:tc>
          <w:tcPr>
            <w:tcW w:w="5940" w:type="dxa"/>
          </w:tcPr>
          <w:p w:rsidR="008E7C7C" w:rsidRPr="00C74D61" w:rsidRDefault="008E7C7C" w:rsidP="00C74D61">
            <w:pPr>
              <w:jc w:val="both"/>
              <w:rPr>
                <w:sz w:val="20"/>
                <w:lang w:val="uk-UA"/>
              </w:rPr>
            </w:pPr>
            <w:r w:rsidRPr="00C74D61">
              <w:rPr>
                <w:sz w:val="20"/>
                <w:lang w:val="uk-UA"/>
              </w:rPr>
              <w:t xml:space="preserve">     КНП «Центральна міська лікарня» є учасником пілотного проєкту, що має право провадити діяльність, пов′язану з трансплантацією органів людини (постанова Кабінету Міністрів України від 05.09.2018 № 707). </w:t>
            </w:r>
          </w:p>
          <w:p w:rsidR="008E7C7C" w:rsidRPr="00C74D61" w:rsidRDefault="008E7C7C" w:rsidP="00C74D61">
            <w:pPr>
              <w:jc w:val="both"/>
              <w:rPr>
                <w:sz w:val="20"/>
              </w:rPr>
            </w:pPr>
            <w:r w:rsidRPr="00C74D61">
              <w:rPr>
                <w:sz w:val="20"/>
                <w:lang w:val="uk-UA"/>
              </w:rPr>
              <w:t xml:space="preserve">     </w:t>
            </w:r>
            <w:r w:rsidRPr="00C74D61">
              <w:rPr>
                <w:sz w:val="20"/>
              </w:rPr>
              <w:t>Медики закладу постійно проходять удосконалення та навчання з трансплантації.</w:t>
            </w:r>
          </w:p>
          <w:p w:rsidR="008E7C7C" w:rsidRPr="00C74D61" w:rsidRDefault="008E7C7C" w:rsidP="00C74D61">
            <w:pPr>
              <w:jc w:val="both"/>
              <w:rPr>
                <w:sz w:val="20"/>
                <w:szCs w:val="20"/>
                <w:lang w:val="uk-UA"/>
              </w:rPr>
            </w:pPr>
            <w:r w:rsidRPr="00C74D61">
              <w:rPr>
                <w:sz w:val="20"/>
              </w:rPr>
              <w:t xml:space="preserve">     Протягом звітного періоду поточного року оперативних втручань з приводу пересадки органів в КНП «Центральна міська лікарня» РМР не проводилось.</w:t>
            </w:r>
          </w:p>
        </w:tc>
      </w:tr>
      <w:tr w:rsidR="008E7C7C" w:rsidRPr="00C74D61" w:rsidTr="00C74D61">
        <w:trPr>
          <w:trHeight w:val="482"/>
        </w:trPr>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tcPr>
          <w:p w:rsidR="008E7C7C" w:rsidRPr="00C74D61" w:rsidRDefault="008E7C7C" w:rsidP="00C74D61">
            <w:pPr>
              <w:jc w:val="center"/>
              <w:rPr>
                <w:color w:val="000000"/>
                <w:sz w:val="20"/>
                <w:szCs w:val="20"/>
              </w:rPr>
            </w:pPr>
            <w:r w:rsidRPr="00C74D61">
              <w:rPr>
                <w:color w:val="000000"/>
                <w:sz w:val="20"/>
                <w:szCs w:val="20"/>
              </w:rPr>
              <w:t>4.4.</w:t>
            </w:r>
          </w:p>
        </w:tc>
        <w:tc>
          <w:tcPr>
            <w:tcW w:w="2520" w:type="dxa"/>
          </w:tcPr>
          <w:p w:rsidR="008E7C7C" w:rsidRPr="00C74D61" w:rsidRDefault="008E7C7C" w:rsidP="00C74D61">
            <w:pPr>
              <w:jc w:val="center"/>
              <w:rPr>
                <w:color w:val="000000"/>
                <w:sz w:val="20"/>
                <w:szCs w:val="20"/>
                <w:lang w:val="uk-UA"/>
              </w:rPr>
            </w:pPr>
            <w:r w:rsidRPr="00C74D61">
              <w:rPr>
                <w:color w:val="000000"/>
                <w:sz w:val="20"/>
                <w:szCs w:val="20"/>
              </w:rPr>
              <w:t>Розвиток допоміжних репродуктивних технологій</w:t>
            </w:r>
          </w:p>
        </w:tc>
        <w:tc>
          <w:tcPr>
            <w:tcW w:w="2880" w:type="dxa"/>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 xml:space="preserve"> КНП «ПБ»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виконані заходи за звітний період</w:t>
            </w:r>
          </w:p>
        </w:tc>
        <w:tc>
          <w:tcPr>
            <w:tcW w:w="5940" w:type="dxa"/>
          </w:tcPr>
          <w:p w:rsidR="008E7C7C" w:rsidRDefault="008E7C7C" w:rsidP="00C74D61">
            <w:pPr>
              <w:jc w:val="both"/>
              <w:rPr>
                <w:sz w:val="20"/>
                <w:lang w:val="uk-UA"/>
              </w:rPr>
            </w:pPr>
            <w:r w:rsidRPr="00C74D61">
              <w:rPr>
                <w:sz w:val="20"/>
                <w:lang w:val="uk-UA"/>
              </w:rPr>
              <w:t xml:space="preserve">    З метою впровадження послуг з екстракорпорального запліднення на базі КНП «Пологовий будинок» РМР з початку 2023 року розпочал активна підготовка працівників КНП «Пологовий будинок» РМР по роботі з відповідним обладнанням, підвищення їхнього кваліфікаційного рівня та з вивчення нормативних документів з питань репродуктології, ембріології, та генетики.</w:t>
            </w:r>
          </w:p>
          <w:p w:rsidR="008E7C7C" w:rsidRPr="00140248" w:rsidRDefault="008E7C7C" w:rsidP="00C74D61">
            <w:pPr>
              <w:jc w:val="both"/>
              <w:rPr>
                <w:sz w:val="20"/>
                <w:szCs w:val="20"/>
                <w:lang w:val="uk-UA"/>
              </w:rPr>
            </w:pPr>
            <w:r w:rsidRPr="00B36BFF">
              <w:rPr>
                <w:rStyle w:val="s21"/>
                <w:color w:val="000000"/>
                <w:sz w:val="20"/>
                <w:szCs w:val="20"/>
              </w:rPr>
              <w:t>В плані на 2025-2026 роки здійснення ремонту та</w:t>
            </w:r>
            <w:r w:rsidRPr="00B36BFF">
              <w:rPr>
                <w:rStyle w:val="apple-converted-space"/>
                <w:color w:val="000000"/>
                <w:sz w:val="20"/>
                <w:szCs w:val="20"/>
              </w:rPr>
              <w:t> </w:t>
            </w:r>
            <w:r w:rsidRPr="00B36BFF">
              <w:rPr>
                <w:rStyle w:val="s21"/>
                <w:color w:val="000000"/>
                <w:sz w:val="20"/>
                <w:szCs w:val="20"/>
              </w:rPr>
              <w:t>дозакупівлі</w:t>
            </w:r>
            <w:r w:rsidRPr="00B36BFF">
              <w:rPr>
                <w:rStyle w:val="apple-converted-space"/>
                <w:color w:val="000000"/>
                <w:sz w:val="20"/>
                <w:szCs w:val="20"/>
              </w:rPr>
              <w:t> </w:t>
            </w:r>
            <w:r w:rsidRPr="00B36BFF">
              <w:rPr>
                <w:rStyle w:val="s21"/>
                <w:color w:val="000000"/>
                <w:sz w:val="20"/>
                <w:szCs w:val="20"/>
              </w:rPr>
              <w:t>обладнання для</w:t>
            </w:r>
            <w:r w:rsidRPr="00B36BFF">
              <w:rPr>
                <w:rStyle w:val="apple-converted-space"/>
                <w:color w:val="000000"/>
                <w:sz w:val="20"/>
                <w:szCs w:val="20"/>
              </w:rPr>
              <w:t> </w:t>
            </w:r>
            <w:r w:rsidRPr="00B36BFF">
              <w:rPr>
                <w:rStyle w:val="s21"/>
                <w:color w:val="000000"/>
                <w:sz w:val="20"/>
                <w:szCs w:val="20"/>
              </w:rPr>
              <w:t>відкриття центру допоміжних репродуктивних технологій</w:t>
            </w:r>
            <w:r w:rsidRPr="00B36BFF">
              <w:rPr>
                <w:rStyle w:val="apple-converted-space"/>
                <w:color w:val="000000"/>
                <w:sz w:val="20"/>
                <w:szCs w:val="20"/>
              </w:rPr>
              <w:t> </w:t>
            </w:r>
            <w:r w:rsidRPr="00B36BFF">
              <w:rPr>
                <w:rStyle w:val="s21"/>
                <w:color w:val="000000"/>
                <w:sz w:val="20"/>
                <w:szCs w:val="20"/>
              </w:rPr>
              <w:t>на базі закладу</w:t>
            </w:r>
            <w:r>
              <w:rPr>
                <w:rStyle w:val="s21"/>
                <w:color w:val="000000"/>
                <w:sz w:val="20"/>
                <w:szCs w:val="20"/>
                <w:lang w:val="uk-UA"/>
              </w:rPr>
              <w:t>.</w:t>
            </w:r>
            <w:r w:rsidRPr="00C74D61">
              <w:rPr>
                <w:sz w:val="20"/>
                <w:lang w:val="uk-UA"/>
              </w:rPr>
              <w:t xml:space="preserve">     </w:t>
            </w:r>
          </w:p>
        </w:tc>
      </w:tr>
      <w:tr w:rsidR="008E7C7C" w:rsidRPr="00C74D61" w:rsidTr="00B36BFF">
        <w:trPr>
          <w:trHeight w:val="642"/>
        </w:trPr>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4.5.</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Забезпечення лікарськими засобами, виробами медичного призначення, раціональним збалансованим харчуванням пацієнтів, </w:t>
            </w:r>
          </w:p>
          <w:p w:rsidR="008E7C7C" w:rsidRPr="00C74D61" w:rsidRDefault="008E7C7C" w:rsidP="00C74D61">
            <w:pPr>
              <w:jc w:val="center"/>
              <w:rPr>
                <w:color w:val="000000"/>
                <w:sz w:val="20"/>
                <w:szCs w:val="20"/>
              </w:rPr>
            </w:pPr>
            <w:r w:rsidRPr="00C74D61">
              <w:rPr>
                <w:color w:val="000000"/>
                <w:sz w:val="20"/>
                <w:szCs w:val="20"/>
              </w:rPr>
              <w:t xml:space="preserve">з числа осіб, які перебувають на стаціонарному лікуванні </w:t>
            </w:r>
          </w:p>
          <w:p w:rsidR="008E7C7C" w:rsidRPr="00C74D61" w:rsidRDefault="008E7C7C" w:rsidP="00C74D61">
            <w:pPr>
              <w:jc w:val="center"/>
              <w:rPr>
                <w:color w:val="000000"/>
                <w:sz w:val="20"/>
                <w:szCs w:val="20"/>
                <w:lang w:val="uk-UA"/>
              </w:rPr>
            </w:pPr>
            <w:r w:rsidRPr="00C74D61">
              <w:rPr>
                <w:color w:val="000000"/>
                <w:sz w:val="20"/>
                <w:szCs w:val="20"/>
              </w:rPr>
              <w:t xml:space="preserve">з приводу травм чи станів, пов’язаних із захистом країни від агресії </w:t>
            </w:r>
            <w:r w:rsidRPr="00C74D61">
              <w:rPr>
                <w:color w:val="000000"/>
                <w:sz w:val="20"/>
                <w:szCs w:val="20"/>
                <w:lang w:val="uk-UA"/>
              </w:rPr>
              <w:t>р</w:t>
            </w:r>
            <w:r w:rsidRPr="00C74D61">
              <w:rPr>
                <w:color w:val="000000"/>
                <w:sz w:val="20"/>
                <w:szCs w:val="20"/>
              </w:rPr>
              <w:t xml:space="preserve">осійської </w:t>
            </w:r>
            <w:r w:rsidRPr="00C74D61">
              <w:rPr>
                <w:color w:val="000000"/>
                <w:sz w:val="20"/>
                <w:szCs w:val="20"/>
                <w:lang w:val="uk-UA"/>
              </w:rPr>
              <w:t>ф</w:t>
            </w:r>
            <w:r w:rsidRPr="00C74D61">
              <w:rPr>
                <w:color w:val="000000"/>
                <w:sz w:val="20"/>
                <w:szCs w:val="20"/>
              </w:rPr>
              <w:t>едерації</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«ЦМЛ» РМР, КНП «МЛ №2»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xml:space="preserve">- кількість стаціонарно пролікованих хворих </w:t>
            </w:r>
            <w:r w:rsidRPr="00C74D61">
              <w:rPr>
                <w:color w:val="000000"/>
                <w:sz w:val="20"/>
                <w:szCs w:val="20"/>
              </w:rPr>
              <w:t xml:space="preserve">з приводу травм чи станів, пов’язаних із захистом країни від агресії </w:t>
            </w:r>
            <w:r w:rsidRPr="00C74D61">
              <w:rPr>
                <w:color w:val="000000"/>
                <w:sz w:val="20"/>
                <w:szCs w:val="20"/>
                <w:lang w:val="uk-UA"/>
              </w:rPr>
              <w:t>р</w:t>
            </w:r>
            <w:r w:rsidRPr="00C74D61">
              <w:rPr>
                <w:color w:val="000000"/>
                <w:sz w:val="20"/>
                <w:szCs w:val="20"/>
              </w:rPr>
              <w:t xml:space="preserve">осійської </w:t>
            </w:r>
            <w:r w:rsidRPr="00C74D61">
              <w:rPr>
                <w:color w:val="000000"/>
                <w:sz w:val="20"/>
                <w:szCs w:val="20"/>
                <w:lang w:val="uk-UA"/>
              </w:rPr>
              <w:t>ф</w:t>
            </w:r>
            <w:r w:rsidRPr="00C74D61">
              <w:rPr>
                <w:color w:val="000000"/>
                <w:sz w:val="20"/>
                <w:szCs w:val="20"/>
              </w:rPr>
              <w:t>едерації</w:t>
            </w:r>
          </w:p>
        </w:tc>
        <w:tc>
          <w:tcPr>
            <w:tcW w:w="5940" w:type="dxa"/>
          </w:tcPr>
          <w:p w:rsidR="008E7C7C" w:rsidRPr="00C74D61" w:rsidRDefault="008E7C7C" w:rsidP="00C74D61">
            <w:pPr>
              <w:jc w:val="both"/>
              <w:rPr>
                <w:sz w:val="20"/>
                <w:lang w:val="uk-UA"/>
              </w:rPr>
            </w:pPr>
            <w:r w:rsidRPr="00C74D61">
              <w:rPr>
                <w:sz w:val="20"/>
                <w:lang w:val="uk-UA"/>
              </w:rPr>
              <w:t xml:space="preserve">    В закладах охорони здоров'я Рівненської міської ради здійснюються заходи (за рахунок різних джерел фінансування) із забезпечення лікарськими засобами, виробами медичного призначення, раціональним збалансованим харчуванням пацієнтів, з числа осіб, які перебувають на стаціонарному лікуванні з приводу травм чи станів, пов’язаних із захистом країни від агресії російської федерації.</w:t>
            </w:r>
          </w:p>
          <w:p w:rsidR="008E7C7C" w:rsidRPr="00C74D61" w:rsidRDefault="008E7C7C" w:rsidP="00C74D61">
            <w:pPr>
              <w:jc w:val="both"/>
              <w:rPr>
                <w:sz w:val="20"/>
              </w:rPr>
            </w:pPr>
            <w:r w:rsidRPr="00C74D61">
              <w:rPr>
                <w:sz w:val="20"/>
                <w:lang w:val="uk-UA"/>
              </w:rPr>
              <w:t xml:space="preserve">     </w:t>
            </w:r>
            <w:r w:rsidRPr="00C74D61">
              <w:rPr>
                <w:sz w:val="20"/>
              </w:rPr>
              <w:t>За звітний період поточного року стаціонарно проліковано з приводу травм чи станів, пов’язаних із захистом країни від агресії російської федерації:</w:t>
            </w:r>
          </w:p>
          <w:p w:rsidR="008E7C7C" w:rsidRPr="00C74D61" w:rsidRDefault="008E7C7C" w:rsidP="00C74D61">
            <w:pPr>
              <w:jc w:val="both"/>
              <w:rPr>
                <w:sz w:val="20"/>
              </w:rPr>
            </w:pPr>
            <w:r w:rsidRPr="00C74D61">
              <w:rPr>
                <w:sz w:val="20"/>
              </w:rPr>
              <w:t xml:space="preserve">- у КНП «Центральна міська лікарня РМР – </w:t>
            </w:r>
            <w:r>
              <w:rPr>
                <w:sz w:val="20"/>
                <w:lang w:val="uk-UA"/>
              </w:rPr>
              <w:t xml:space="preserve">292 </w:t>
            </w:r>
            <w:r w:rsidRPr="00C74D61">
              <w:rPr>
                <w:sz w:val="20"/>
              </w:rPr>
              <w:t>пацієнт</w:t>
            </w:r>
            <w:r>
              <w:rPr>
                <w:sz w:val="20"/>
                <w:lang w:val="uk-UA"/>
              </w:rPr>
              <w:t>а</w:t>
            </w:r>
            <w:r w:rsidRPr="00C74D61">
              <w:rPr>
                <w:sz w:val="20"/>
              </w:rPr>
              <w:t>;</w:t>
            </w:r>
          </w:p>
          <w:p w:rsidR="008E7C7C" w:rsidRPr="00C74D61" w:rsidRDefault="008E7C7C" w:rsidP="00C74D61">
            <w:pPr>
              <w:jc w:val="both"/>
              <w:rPr>
                <w:sz w:val="20"/>
                <w:szCs w:val="20"/>
                <w:lang w:val="uk-UA"/>
              </w:rPr>
            </w:pPr>
            <w:r w:rsidRPr="00C74D61">
              <w:rPr>
                <w:sz w:val="20"/>
              </w:rPr>
              <w:t xml:space="preserve">- у КНП «Міська лікарня № 2» РМР </w:t>
            </w:r>
            <w:r>
              <w:rPr>
                <w:sz w:val="20"/>
              </w:rPr>
              <w:t>–</w:t>
            </w:r>
            <w:r w:rsidRPr="00C74D61">
              <w:rPr>
                <w:sz w:val="20"/>
              </w:rPr>
              <w:t xml:space="preserve"> </w:t>
            </w:r>
            <w:r>
              <w:rPr>
                <w:sz w:val="20"/>
                <w:lang w:val="uk-UA"/>
              </w:rPr>
              <w:t xml:space="preserve">752  </w:t>
            </w:r>
            <w:r w:rsidRPr="00C74D61">
              <w:rPr>
                <w:sz w:val="20"/>
              </w:rPr>
              <w:t>пацієнт</w:t>
            </w:r>
            <w:r>
              <w:rPr>
                <w:sz w:val="20"/>
                <w:lang w:val="uk-UA"/>
              </w:rPr>
              <w:t>ів</w:t>
            </w:r>
            <w:r w:rsidRPr="00C74D61">
              <w:rPr>
                <w:sz w:val="20"/>
              </w:rPr>
              <w:t>.</w:t>
            </w:r>
          </w:p>
        </w:tc>
      </w:tr>
      <w:tr w:rsidR="008E7C7C" w:rsidRPr="00C04968" w:rsidTr="00C74D61">
        <w:tc>
          <w:tcPr>
            <w:tcW w:w="540" w:type="dxa"/>
            <w:vMerge w:val="restart"/>
            <w:vAlign w:val="center"/>
          </w:tcPr>
          <w:p w:rsidR="008E7C7C" w:rsidRPr="00C74D61" w:rsidRDefault="008E7C7C" w:rsidP="00C74D61">
            <w:pPr>
              <w:jc w:val="center"/>
              <w:rPr>
                <w:bCs/>
                <w:color w:val="000000"/>
                <w:sz w:val="20"/>
                <w:szCs w:val="20"/>
              </w:rPr>
            </w:pPr>
            <w:r w:rsidRPr="00C74D61">
              <w:rPr>
                <w:bCs/>
                <w:color w:val="000000"/>
                <w:sz w:val="20"/>
                <w:szCs w:val="20"/>
              </w:rPr>
              <w:t>V</w:t>
            </w:r>
          </w:p>
        </w:tc>
        <w:tc>
          <w:tcPr>
            <w:tcW w:w="1620" w:type="dxa"/>
            <w:vMerge w:val="restart"/>
            <w:vAlign w:val="center"/>
          </w:tcPr>
          <w:p w:rsidR="008E7C7C" w:rsidRPr="00C74D61" w:rsidRDefault="008E7C7C" w:rsidP="00C74D61">
            <w:pPr>
              <w:jc w:val="center"/>
              <w:rPr>
                <w:color w:val="000000"/>
                <w:sz w:val="20"/>
                <w:szCs w:val="20"/>
              </w:rPr>
            </w:pPr>
            <w:r w:rsidRPr="00C74D61">
              <w:rPr>
                <w:color w:val="000000"/>
                <w:sz w:val="20"/>
                <w:szCs w:val="20"/>
              </w:rPr>
              <w:t>Надання фінансової підтримки комунальним некомерційним підприємствам – закладам</w:t>
            </w:r>
          </w:p>
          <w:p w:rsidR="008E7C7C" w:rsidRPr="00C74D61" w:rsidRDefault="008E7C7C" w:rsidP="00C74D61">
            <w:pPr>
              <w:jc w:val="center"/>
              <w:rPr>
                <w:color w:val="000000"/>
                <w:sz w:val="20"/>
                <w:szCs w:val="20"/>
              </w:rPr>
            </w:pPr>
            <w:r w:rsidRPr="00C74D61">
              <w:rPr>
                <w:color w:val="000000"/>
                <w:sz w:val="20"/>
                <w:szCs w:val="20"/>
              </w:rPr>
              <w:t>охорони здоров’я</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5.1.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Забезпечення фінансування видатків закладів охорони здоров’я </w:t>
            </w:r>
          </w:p>
        </w:tc>
        <w:tc>
          <w:tcPr>
            <w:tcW w:w="2880" w:type="dxa"/>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ype="page"/>
            </w:r>
          </w:p>
          <w:p w:rsidR="008E7C7C" w:rsidRPr="00C74D61" w:rsidRDefault="008E7C7C" w:rsidP="00C74D61">
            <w:pPr>
              <w:jc w:val="center"/>
              <w:rPr>
                <w:sz w:val="20"/>
                <w:szCs w:val="20"/>
                <w:lang w:val="uk-UA"/>
              </w:rPr>
            </w:pPr>
            <w:r w:rsidRPr="00C74D61">
              <w:rPr>
                <w:color w:val="000000"/>
                <w:sz w:val="20"/>
                <w:szCs w:val="20"/>
              </w:rPr>
              <w:br w:type="page"/>
              <w:t>КНП «МСП»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виконані заходи за звітний період</w:t>
            </w:r>
          </w:p>
        </w:tc>
        <w:tc>
          <w:tcPr>
            <w:tcW w:w="5940" w:type="dxa"/>
          </w:tcPr>
          <w:p w:rsidR="008E7C7C" w:rsidRPr="00C74D61" w:rsidRDefault="008E7C7C" w:rsidP="00C74D61">
            <w:pPr>
              <w:jc w:val="both"/>
              <w:rPr>
                <w:sz w:val="20"/>
                <w:szCs w:val="20"/>
                <w:lang w:val="uk-UA"/>
              </w:rPr>
            </w:pPr>
            <w:r w:rsidRPr="00C74D61">
              <w:rPr>
                <w:sz w:val="20"/>
                <w:lang w:val="uk-UA"/>
              </w:rPr>
              <w:t xml:space="preserve">     Протягом </w:t>
            </w:r>
            <w:r>
              <w:rPr>
                <w:sz w:val="20"/>
                <w:lang w:val="uk-UA"/>
              </w:rPr>
              <w:t>звітного періоду</w:t>
            </w:r>
            <w:r w:rsidRPr="00C74D61">
              <w:rPr>
                <w:sz w:val="20"/>
                <w:lang w:val="uk-UA"/>
              </w:rPr>
              <w:t xml:space="preserve"> 202</w:t>
            </w:r>
            <w:r>
              <w:rPr>
                <w:sz w:val="20"/>
                <w:lang w:val="uk-UA"/>
              </w:rPr>
              <w:t>4</w:t>
            </w:r>
            <w:r w:rsidRPr="00C74D61">
              <w:rPr>
                <w:sz w:val="20"/>
                <w:lang w:val="uk-UA"/>
              </w:rPr>
              <w:t xml:space="preserve"> року в КНП «Міська стоматологічна поліклініка» РМР, відповідно до статутної діяльності закладу, здійснюються організаційні заходи із забезпечення надання стоматологічної допомоги населенню в повному об′ємі.</w:t>
            </w:r>
          </w:p>
        </w:tc>
      </w:tr>
      <w:tr w:rsidR="008E7C7C" w:rsidRPr="00C04968" w:rsidTr="00C74D61">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5.2.</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фінансування видатків закладів охорони здоров’я на оплату тепло-, водо-, електро-, газо- постачання та інших комунальних послуг</w:t>
            </w:r>
          </w:p>
        </w:tc>
        <w:tc>
          <w:tcPr>
            <w:tcW w:w="2880" w:type="dxa"/>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t>КНП «ЦПМСД «Північний» РМР, КНП «ЦМЛ» РМР, КНП «МЛ №2» РМР,</w:t>
            </w:r>
            <w:r w:rsidRPr="00C74D61">
              <w:rPr>
                <w:color w:val="000000"/>
                <w:sz w:val="20"/>
                <w:szCs w:val="20"/>
                <w:lang w:val="uk-UA"/>
              </w:rPr>
              <w:t xml:space="preserve"> </w:t>
            </w:r>
            <w:r w:rsidRPr="00C74D61">
              <w:rPr>
                <w:color w:val="000000"/>
                <w:sz w:val="20"/>
                <w:szCs w:val="20"/>
              </w:rPr>
              <w:t>КНП «МДЛ» РМР, КНП «ПБ» РМР,</w:t>
            </w:r>
            <w:r w:rsidRPr="00C74D61">
              <w:rPr>
                <w:color w:val="000000"/>
                <w:sz w:val="20"/>
                <w:szCs w:val="20"/>
                <w:lang w:val="uk-UA"/>
              </w:rPr>
              <w:t xml:space="preserve"> </w:t>
            </w:r>
          </w:p>
          <w:p w:rsidR="008E7C7C" w:rsidRPr="00C74D61" w:rsidRDefault="008E7C7C" w:rsidP="00C74D61">
            <w:pPr>
              <w:jc w:val="center"/>
              <w:rPr>
                <w:sz w:val="20"/>
                <w:szCs w:val="20"/>
                <w:lang w:val="uk-UA"/>
              </w:rPr>
            </w:pPr>
            <w:r w:rsidRPr="00C74D61">
              <w:rPr>
                <w:color w:val="000000"/>
                <w:sz w:val="20"/>
                <w:szCs w:val="20"/>
              </w:rPr>
              <w:t>КНП «МСП»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виконані заходи за звітний період</w:t>
            </w:r>
          </w:p>
        </w:tc>
        <w:tc>
          <w:tcPr>
            <w:tcW w:w="5940" w:type="dxa"/>
          </w:tcPr>
          <w:p w:rsidR="008E7C7C" w:rsidRPr="00C74D61" w:rsidRDefault="008E7C7C" w:rsidP="00C74D61">
            <w:pPr>
              <w:jc w:val="both"/>
              <w:rPr>
                <w:sz w:val="20"/>
                <w:szCs w:val="20"/>
                <w:lang w:val="uk-UA"/>
              </w:rPr>
            </w:pPr>
            <w:r w:rsidRPr="00C74D61">
              <w:rPr>
                <w:sz w:val="20"/>
                <w:lang w:val="uk-UA"/>
              </w:rPr>
              <w:t xml:space="preserve">     </w:t>
            </w:r>
            <w:r>
              <w:rPr>
                <w:sz w:val="20"/>
                <w:lang w:val="uk-UA"/>
              </w:rPr>
              <w:t xml:space="preserve">Протягом </w:t>
            </w:r>
            <w:r>
              <w:rPr>
                <w:sz w:val="20"/>
                <w:lang w:val="en-US"/>
              </w:rPr>
              <w:t>I</w:t>
            </w:r>
            <w:r w:rsidRPr="008773BA">
              <w:rPr>
                <w:sz w:val="20"/>
                <w:lang w:val="uk-UA"/>
              </w:rPr>
              <w:t xml:space="preserve"> </w:t>
            </w:r>
            <w:r>
              <w:rPr>
                <w:sz w:val="20"/>
                <w:lang w:val="uk-UA"/>
              </w:rPr>
              <w:t>півріччя 2024</w:t>
            </w:r>
            <w:r w:rsidRPr="0058550B">
              <w:rPr>
                <w:sz w:val="20"/>
                <w:lang w:val="uk-UA"/>
              </w:rPr>
              <w:t xml:space="preserve"> року в закладах охорони здоров'я Рівненської міської ради видатки на оплату енергоносіїв та інших комунальних послуг за звітний період профінансовані повністю, заборгованість відсутня.</w:t>
            </w:r>
          </w:p>
        </w:tc>
      </w:tr>
      <w:tr w:rsidR="008E7C7C" w:rsidRPr="00C04968" w:rsidTr="00C74D61">
        <w:tc>
          <w:tcPr>
            <w:tcW w:w="540" w:type="dxa"/>
            <w:vMerge w:val="restart"/>
            <w:vAlign w:val="center"/>
          </w:tcPr>
          <w:p w:rsidR="008E7C7C" w:rsidRPr="00C74D61" w:rsidRDefault="008E7C7C" w:rsidP="00C74D61">
            <w:pPr>
              <w:jc w:val="center"/>
              <w:rPr>
                <w:bCs/>
                <w:color w:val="000000"/>
                <w:sz w:val="20"/>
                <w:szCs w:val="20"/>
              </w:rPr>
            </w:pPr>
            <w:r w:rsidRPr="00C74D61">
              <w:rPr>
                <w:bCs/>
                <w:color w:val="000000"/>
                <w:sz w:val="20"/>
                <w:szCs w:val="20"/>
              </w:rPr>
              <w:t>VI</w:t>
            </w:r>
          </w:p>
        </w:tc>
        <w:tc>
          <w:tcPr>
            <w:tcW w:w="1620" w:type="dxa"/>
            <w:vMerge w:val="restart"/>
            <w:vAlign w:val="center"/>
          </w:tcPr>
          <w:p w:rsidR="008E7C7C" w:rsidRPr="00C74D61" w:rsidRDefault="008E7C7C" w:rsidP="00C74D61">
            <w:pPr>
              <w:jc w:val="center"/>
              <w:rPr>
                <w:color w:val="000000"/>
                <w:sz w:val="20"/>
                <w:szCs w:val="20"/>
              </w:rPr>
            </w:pPr>
            <w:r w:rsidRPr="00C74D61">
              <w:rPr>
                <w:color w:val="000000"/>
                <w:sz w:val="20"/>
                <w:szCs w:val="20"/>
              </w:rPr>
              <w:t>Зміцнення матеріально-технічної бази у сфері охорони здоров'я</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6.1.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Проведення капітальних ремонтів приміщень та обладнання, </w:t>
            </w:r>
          </w:p>
          <w:p w:rsidR="008E7C7C" w:rsidRPr="00C74D61" w:rsidRDefault="008E7C7C" w:rsidP="00C74D61">
            <w:pPr>
              <w:jc w:val="center"/>
              <w:rPr>
                <w:color w:val="000000"/>
                <w:sz w:val="20"/>
                <w:szCs w:val="20"/>
              </w:rPr>
            </w:pPr>
            <w:r w:rsidRPr="00C74D61">
              <w:rPr>
                <w:color w:val="000000"/>
                <w:sz w:val="20"/>
                <w:szCs w:val="20"/>
              </w:rPr>
              <w:t>у т.ч. співфінансування</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t>КНП «ЦПМСД «Північний» РМР, КНП «ЦМЛ» РМР, КНП «МЛ №2» РМР,</w:t>
            </w:r>
            <w:r w:rsidRPr="00C74D61">
              <w:rPr>
                <w:color w:val="000000"/>
                <w:sz w:val="20"/>
                <w:szCs w:val="20"/>
                <w:lang w:val="uk-UA"/>
              </w:rPr>
              <w:t xml:space="preserve"> </w:t>
            </w:r>
            <w:r w:rsidRPr="00C74D61">
              <w:rPr>
                <w:color w:val="000000"/>
                <w:sz w:val="20"/>
                <w:szCs w:val="20"/>
              </w:rPr>
              <w:t xml:space="preserve">КНП «МДЛ» РМР, КНП «ПБ» РМР, </w:t>
            </w:r>
            <w:r w:rsidRPr="00C74D61">
              <w:rPr>
                <w:color w:val="000000"/>
                <w:sz w:val="20"/>
                <w:szCs w:val="20"/>
              </w:rPr>
              <w:br/>
              <w:t>КНП «МСП» РМР</w:t>
            </w:r>
          </w:p>
        </w:tc>
        <w:tc>
          <w:tcPr>
            <w:tcW w:w="2160" w:type="dxa"/>
            <w:vAlign w:val="center"/>
          </w:tcPr>
          <w:p w:rsidR="008E7C7C" w:rsidRPr="00C74D61" w:rsidRDefault="008E7C7C" w:rsidP="00C74D61">
            <w:pPr>
              <w:jc w:val="center"/>
              <w:rPr>
                <w:sz w:val="20"/>
                <w:szCs w:val="20"/>
                <w:lang w:val="uk-UA"/>
              </w:rPr>
            </w:pPr>
            <w:r w:rsidRPr="00C74D61">
              <w:rPr>
                <w:sz w:val="20"/>
                <w:lang w:val="uk-UA"/>
              </w:rPr>
              <w:t>- п</w:t>
            </w:r>
            <w:r w:rsidRPr="00C74D61">
              <w:rPr>
                <w:sz w:val="20"/>
              </w:rPr>
              <w:t>ерелік</w:t>
            </w:r>
            <w:r w:rsidRPr="00C74D61">
              <w:rPr>
                <w:sz w:val="20"/>
                <w:lang w:val="uk-UA"/>
              </w:rPr>
              <w:t xml:space="preserve"> проведених капітальних </w:t>
            </w:r>
            <w:r w:rsidRPr="00C74D61">
              <w:rPr>
                <w:sz w:val="20"/>
              </w:rPr>
              <w:t xml:space="preserve">ремонтів </w:t>
            </w:r>
            <w:r w:rsidRPr="00C74D61">
              <w:rPr>
                <w:sz w:val="20"/>
                <w:lang w:val="uk-UA"/>
              </w:rPr>
              <w:t>приміщень та обладнання, у т.ч. за рахунок співфінансування</w:t>
            </w:r>
          </w:p>
        </w:tc>
        <w:tc>
          <w:tcPr>
            <w:tcW w:w="5940" w:type="dxa"/>
          </w:tcPr>
          <w:p w:rsidR="008E7C7C" w:rsidRPr="00C74D61" w:rsidRDefault="008E7C7C" w:rsidP="007D2F94">
            <w:pPr>
              <w:jc w:val="both"/>
              <w:rPr>
                <w:sz w:val="20"/>
                <w:szCs w:val="20"/>
                <w:lang w:val="uk-UA"/>
              </w:rPr>
            </w:pPr>
            <w:r w:rsidRPr="00C74D61">
              <w:rPr>
                <w:sz w:val="20"/>
                <w:lang w:val="uk-UA"/>
              </w:rPr>
              <w:t xml:space="preserve">    У </w:t>
            </w:r>
            <w:r>
              <w:rPr>
                <w:sz w:val="20"/>
                <w:lang w:val="uk-UA"/>
              </w:rPr>
              <w:t xml:space="preserve">звітньому періоді </w:t>
            </w:r>
            <w:r w:rsidRPr="00C74D61">
              <w:rPr>
                <w:sz w:val="20"/>
                <w:lang w:val="uk-UA"/>
              </w:rPr>
              <w:t xml:space="preserve"> 202</w:t>
            </w:r>
            <w:r>
              <w:rPr>
                <w:sz w:val="20"/>
                <w:lang w:val="uk-UA"/>
              </w:rPr>
              <w:t>4</w:t>
            </w:r>
            <w:r w:rsidRPr="00C74D61">
              <w:rPr>
                <w:sz w:val="20"/>
                <w:lang w:val="uk-UA"/>
              </w:rPr>
              <w:t xml:space="preserve"> року капітальні ремонти приміщень та обладнання за кошти місцевого бюджету, у т.ч. за рахунок співфінансування, у закладах охорони здоров'я Рівненської міської ради</w:t>
            </w:r>
            <w:r>
              <w:rPr>
                <w:sz w:val="20"/>
                <w:lang w:val="uk-UA"/>
              </w:rPr>
              <w:t xml:space="preserve"> </w:t>
            </w:r>
            <w:r w:rsidRPr="00C74D61">
              <w:rPr>
                <w:sz w:val="20"/>
                <w:lang w:val="uk-UA"/>
              </w:rPr>
              <w:t xml:space="preserve"> проводились</w:t>
            </w:r>
            <w:r>
              <w:rPr>
                <w:sz w:val="20"/>
                <w:lang w:val="uk-UA"/>
              </w:rPr>
              <w:t xml:space="preserve"> у </w:t>
            </w:r>
            <w:r w:rsidRPr="00C74D61">
              <w:rPr>
                <w:sz w:val="20"/>
                <w:lang w:val="uk-UA"/>
              </w:rPr>
              <w:t xml:space="preserve"> КНП «Центральна міська лікарня» РМР, де було проведено, капітальний ремонт </w:t>
            </w:r>
            <w:r w:rsidRPr="00336123">
              <w:rPr>
                <w:color w:val="000000"/>
                <w:sz w:val="20"/>
                <w:szCs w:val="20"/>
                <w:lang w:val="uk-UA"/>
              </w:rPr>
              <w:t>проїздів з влаштуванням парковки для легкових автомобілів на території</w:t>
            </w:r>
            <w:r>
              <w:rPr>
                <w:color w:val="000000"/>
                <w:sz w:val="20"/>
                <w:szCs w:val="20"/>
                <w:lang w:val="uk-UA"/>
              </w:rPr>
              <w:t>.</w:t>
            </w:r>
          </w:p>
          <w:p w:rsidR="008E7C7C" w:rsidRPr="00C74D61" w:rsidRDefault="008E7C7C" w:rsidP="00454113">
            <w:pPr>
              <w:jc w:val="both"/>
              <w:rPr>
                <w:sz w:val="20"/>
                <w:szCs w:val="20"/>
                <w:lang w:val="uk-UA"/>
              </w:rPr>
            </w:pPr>
          </w:p>
        </w:tc>
      </w:tr>
      <w:tr w:rsidR="008E7C7C" w:rsidRPr="00C74D61" w:rsidTr="00141D94">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6.2.</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Реконструкція будівель, внутрішніх приміщень, технічних мереж та прилеглих територій, </w:t>
            </w:r>
          </w:p>
          <w:p w:rsidR="008E7C7C" w:rsidRPr="00C74D61" w:rsidRDefault="008E7C7C" w:rsidP="00C74D61">
            <w:pPr>
              <w:jc w:val="center"/>
              <w:rPr>
                <w:color w:val="000000"/>
                <w:sz w:val="20"/>
                <w:szCs w:val="20"/>
              </w:rPr>
            </w:pPr>
            <w:r w:rsidRPr="00C74D61">
              <w:rPr>
                <w:color w:val="000000"/>
                <w:sz w:val="20"/>
                <w:szCs w:val="20"/>
              </w:rPr>
              <w:t>у т. ч. співфінансування</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t>КНП «ЦПМСД «Північний» РМР, КНП «ЦМЛ» РМР, КНП «МЛ №2» РМР,</w:t>
            </w:r>
            <w:r w:rsidRPr="00C74D61">
              <w:rPr>
                <w:color w:val="000000"/>
                <w:sz w:val="20"/>
                <w:szCs w:val="20"/>
                <w:lang w:val="uk-UA"/>
              </w:rPr>
              <w:t xml:space="preserve"> </w:t>
            </w:r>
            <w:r w:rsidRPr="00C74D61">
              <w:rPr>
                <w:color w:val="000000"/>
                <w:sz w:val="20"/>
                <w:szCs w:val="20"/>
              </w:rPr>
              <w:t>КНП «МДЛ» РМР, КНП «ПБ» РМР,</w:t>
            </w:r>
            <w:r w:rsidRPr="00C74D61">
              <w:rPr>
                <w:color w:val="000000"/>
                <w:sz w:val="20"/>
                <w:szCs w:val="20"/>
                <w:lang w:val="uk-UA"/>
              </w:rPr>
              <w:t xml:space="preserve">  </w:t>
            </w:r>
          </w:p>
          <w:p w:rsidR="008E7C7C" w:rsidRPr="00C74D61" w:rsidRDefault="008E7C7C" w:rsidP="00C74D61">
            <w:pPr>
              <w:jc w:val="center"/>
              <w:rPr>
                <w:color w:val="000000"/>
                <w:sz w:val="20"/>
                <w:szCs w:val="20"/>
              </w:rPr>
            </w:pPr>
            <w:r w:rsidRPr="00C74D61">
              <w:rPr>
                <w:color w:val="000000"/>
                <w:sz w:val="20"/>
                <w:szCs w:val="20"/>
              </w:rPr>
              <w:t>КНП «МСП» РМР</w:t>
            </w:r>
          </w:p>
        </w:tc>
        <w:tc>
          <w:tcPr>
            <w:tcW w:w="2160" w:type="dxa"/>
            <w:vAlign w:val="center"/>
          </w:tcPr>
          <w:p w:rsidR="008E7C7C" w:rsidRPr="00C74D61" w:rsidRDefault="008E7C7C" w:rsidP="00C74D61">
            <w:pPr>
              <w:jc w:val="center"/>
              <w:rPr>
                <w:sz w:val="20"/>
                <w:szCs w:val="20"/>
                <w:lang w:val="uk-UA"/>
              </w:rPr>
            </w:pPr>
            <w:r w:rsidRPr="00C74D61">
              <w:rPr>
                <w:sz w:val="20"/>
                <w:lang w:val="uk-UA"/>
              </w:rPr>
              <w:t>- перелік проведених</w:t>
            </w:r>
            <w:r w:rsidRPr="00C74D61">
              <w:rPr>
                <w:sz w:val="20"/>
              </w:rPr>
              <w:t xml:space="preserve"> реконструкцій</w:t>
            </w:r>
            <w:r w:rsidRPr="00C74D61">
              <w:rPr>
                <w:sz w:val="20"/>
                <w:lang w:val="uk-UA"/>
              </w:rPr>
              <w:t xml:space="preserve"> приміщень, технічних мереж та прилеглих територій, у тому числі за рахунок співфінансування</w:t>
            </w:r>
          </w:p>
        </w:tc>
        <w:tc>
          <w:tcPr>
            <w:tcW w:w="5940" w:type="dxa"/>
          </w:tcPr>
          <w:p w:rsidR="008E7C7C" w:rsidRPr="00C74D61" w:rsidRDefault="008E7C7C" w:rsidP="00C74D61">
            <w:pPr>
              <w:jc w:val="both"/>
              <w:rPr>
                <w:sz w:val="20"/>
                <w:szCs w:val="20"/>
                <w:lang w:val="uk-UA"/>
              </w:rPr>
            </w:pPr>
            <w:r w:rsidRPr="00C74D61">
              <w:rPr>
                <w:sz w:val="20"/>
                <w:lang w:val="uk-UA"/>
              </w:rPr>
              <w:t xml:space="preserve">     </w:t>
            </w:r>
            <w:r>
              <w:rPr>
                <w:sz w:val="20"/>
                <w:szCs w:val="20"/>
                <w:lang w:val="uk-UA"/>
              </w:rPr>
              <w:t>Протягом звітного періоду 2024 року, за рахунок коштів місцевого бюджету</w:t>
            </w:r>
            <w:r>
              <w:rPr>
                <w:sz w:val="20"/>
                <w:lang w:val="uk-UA"/>
              </w:rPr>
              <w:t>,проведено р</w:t>
            </w:r>
            <w:r w:rsidRPr="00BC409F">
              <w:rPr>
                <w:sz w:val="20"/>
                <w:szCs w:val="20"/>
                <w:lang w:val="uk-UA"/>
              </w:rPr>
              <w:t>еконструкці</w:t>
            </w:r>
            <w:r>
              <w:rPr>
                <w:sz w:val="20"/>
                <w:szCs w:val="20"/>
                <w:lang w:val="uk-UA"/>
              </w:rPr>
              <w:t>ю</w:t>
            </w:r>
            <w:r w:rsidRPr="00BC409F">
              <w:rPr>
                <w:sz w:val="20"/>
                <w:szCs w:val="20"/>
                <w:lang w:val="uk-UA"/>
              </w:rPr>
              <w:t xml:space="preserve"> </w:t>
            </w:r>
            <w:r>
              <w:rPr>
                <w:sz w:val="20"/>
                <w:szCs w:val="20"/>
                <w:lang w:val="uk-UA"/>
              </w:rPr>
              <w:t xml:space="preserve"> частини хірургічного корпусу з добудовою четвертого поверху, КНП «Центральна міська лікарня» РМР</w:t>
            </w:r>
            <w:r>
              <w:rPr>
                <w:sz w:val="20"/>
                <w:lang w:val="uk-UA"/>
              </w:rPr>
              <w:t>.</w:t>
            </w:r>
          </w:p>
        </w:tc>
      </w:tr>
      <w:tr w:rsidR="008E7C7C" w:rsidRPr="00C74D61" w:rsidTr="00365349">
        <w:tc>
          <w:tcPr>
            <w:tcW w:w="540" w:type="dxa"/>
            <w:vMerge/>
          </w:tcPr>
          <w:p w:rsidR="008E7C7C" w:rsidRPr="00C74D61" w:rsidRDefault="008E7C7C" w:rsidP="00C74D61">
            <w:pPr>
              <w:jc w:val="both"/>
              <w:rPr>
                <w:sz w:val="20"/>
                <w:szCs w:val="20"/>
                <w:lang w:val="uk-UA"/>
              </w:rPr>
            </w:pPr>
          </w:p>
        </w:tc>
        <w:tc>
          <w:tcPr>
            <w:tcW w:w="1620" w:type="dxa"/>
            <w:vMerge/>
          </w:tcPr>
          <w:p w:rsidR="008E7C7C" w:rsidRPr="00C74D61" w:rsidRDefault="008E7C7C" w:rsidP="00C74D61">
            <w:pPr>
              <w:jc w:val="both"/>
              <w:rPr>
                <w:sz w:val="20"/>
                <w:szCs w:val="20"/>
                <w:lang w:val="uk-UA"/>
              </w:rPr>
            </w:pP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6.3.</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Придбання обладнання довгострокового користування, </w:t>
            </w:r>
          </w:p>
          <w:p w:rsidR="008E7C7C" w:rsidRPr="00C74D61" w:rsidRDefault="008E7C7C" w:rsidP="00C74D61">
            <w:pPr>
              <w:jc w:val="center"/>
              <w:rPr>
                <w:color w:val="000000"/>
                <w:sz w:val="20"/>
                <w:szCs w:val="20"/>
              </w:rPr>
            </w:pPr>
            <w:r w:rsidRPr="00C74D61">
              <w:rPr>
                <w:color w:val="000000"/>
                <w:sz w:val="20"/>
                <w:szCs w:val="20"/>
              </w:rPr>
              <w:t>у т.ч. співфінансування</w:t>
            </w:r>
          </w:p>
        </w:tc>
        <w:tc>
          <w:tcPr>
            <w:tcW w:w="2880" w:type="dxa"/>
            <w:vAlign w:val="center"/>
          </w:tcPr>
          <w:p w:rsidR="008E7C7C" w:rsidRPr="00C74D61" w:rsidRDefault="008E7C7C" w:rsidP="00C74D61">
            <w:pPr>
              <w:jc w:val="center"/>
              <w:rPr>
                <w:color w:val="000000"/>
                <w:sz w:val="20"/>
                <w:szCs w:val="20"/>
                <w:lang w:val="uk-UA"/>
              </w:rPr>
            </w:pPr>
            <w:r w:rsidRPr="00C74D61">
              <w:rPr>
                <w:color w:val="000000"/>
                <w:sz w:val="20"/>
                <w:szCs w:val="20"/>
              </w:rPr>
              <w:t xml:space="preserve">Управління охорони здоров'я, </w:t>
            </w:r>
            <w:r w:rsidRPr="00C74D61">
              <w:rPr>
                <w:color w:val="000000"/>
                <w:sz w:val="20"/>
                <w:szCs w:val="20"/>
              </w:rPr>
              <w:br/>
              <w:t>КНП «ЦПМСД «Центральний» РМР, КНП «ЦПМСД «Ювілейний» РМР,</w:t>
            </w:r>
            <w:r w:rsidRPr="00C74D61">
              <w:rPr>
                <w:color w:val="000000"/>
                <w:sz w:val="20"/>
                <w:szCs w:val="20"/>
                <w:lang w:val="uk-UA"/>
              </w:rPr>
              <w:t xml:space="preserve"> </w:t>
            </w:r>
            <w:r w:rsidRPr="00C74D61">
              <w:rPr>
                <w:color w:val="000000"/>
                <w:sz w:val="20"/>
                <w:szCs w:val="20"/>
              </w:rPr>
              <w:t>КНП «ЦПМСД «Північний» РМР, КНП «ЦМЛ» РМР, КНП «МЛ №2» РМР,</w:t>
            </w:r>
            <w:r w:rsidRPr="00C74D61">
              <w:rPr>
                <w:color w:val="000000"/>
                <w:sz w:val="20"/>
                <w:szCs w:val="20"/>
                <w:lang w:val="uk-UA"/>
              </w:rPr>
              <w:t xml:space="preserve"> </w:t>
            </w:r>
            <w:r w:rsidRPr="00C74D61">
              <w:rPr>
                <w:color w:val="000000"/>
                <w:sz w:val="20"/>
                <w:szCs w:val="20"/>
              </w:rPr>
              <w:t>КНП «МДЛ» РМР, КНП «ПБ» РМР,</w:t>
            </w:r>
            <w:r w:rsidRPr="00C74D61">
              <w:rPr>
                <w:color w:val="000000"/>
                <w:sz w:val="20"/>
                <w:szCs w:val="20"/>
                <w:lang w:val="uk-UA"/>
              </w:rPr>
              <w:t xml:space="preserve"> </w:t>
            </w:r>
          </w:p>
          <w:p w:rsidR="008E7C7C" w:rsidRPr="00C74D61" w:rsidRDefault="008E7C7C" w:rsidP="00C74D61">
            <w:pPr>
              <w:jc w:val="center"/>
              <w:rPr>
                <w:color w:val="000000"/>
                <w:sz w:val="20"/>
                <w:szCs w:val="20"/>
              </w:rPr>
            </w:pPr>
            <w:r w:rsidRPr="00C74D61">
              <w:rPr>
                <w:color w:val="000000"/>
                <w:sz w:val="20"/>
                <w:szCs w:val="20"/>
              </w:rPr>
              <w:t>КНП «МСП»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перелік придбаного обладнання довгострокового користування, у т.ч. за рахунок співфінансування</w:t>
            </w:r>
          </w:p>
        </w:tc>
        <w:tc>
          <w:tcPr>
            <w:tcW w:w="5940" w:type="dxa"/>
          </w:tcPr>
          <w:p w:rsidR="008E7C7C" w:rsidRPr="004F7220" w:rsidRDefault="008E7C7C" w:rsidP="00CE1A3E">
            <w:pPr>
              <w:jc w:val="both"/>
              <w:rPr>
                <w:sz w:val="20"/>
                <w:szCs w:val="20"/>
                <w:lang w:val="uk-UA"/>
              </w:rPr>
            </w:pPr>
            <w:r>
              <w:rPr>
                <w:sz w:val="20"/>
                <w:szCs w:val="20"/>
                <w:lang w:val="uk-UA"/>
              </w:rPr>
              <w:t>Протягом звітного періоду 2024 року медична апаратура та обладнання за кошти місцевого бюджету для закладів охорони здоров</w:t>
            </w:r>
            <w:r w:rsidRPr="00891C7F">
              <w:rPr>
                <w:sz w:val="20"/>
                <w:szCs w:val="20"/>
              </w:rPr>
              <w:t>’</w:t>
            </w:r>
            <w:r>
              <w:rPr>
                <w:sz w:val="20"/>
                <w:szCs w:val="20"/>
                <w:lang w:val="uk-UA"/>
              </w:rPr>
              <w:t xml:space="preserve">я Рівненської міської ради не закуповувалися. </w:t>
            </w:r>
          </w:p>
          <w:p w:rsidR="008E7C7C" w:rsidRPr="007F0317" w:rsidRDefault="008E7C7C" w:rsidP="007F0317">
            <w:pPr>
              <w:pStyle w:val="ListParagraph"/>
              <w:ind w:left="0"/>
              <w:jc w:val="both"/>
              <w:rPr>
                <w:sz w:val="20"/>
                <w:szCs w:val="20"/>
                <w:lang w:val="uk-UA"/>
              </w:rPr>
            </w:pPr>
          </w:p>
          <w:p w:rsidR="008E7C7C" w:rsidRPr="00141D94" w:rsidRDefault="008E7C7C" w:rsidP="00141D94">
            <w:pPr>
              <w:ind w:right="-113"/>
              <w:rPr>
                <w:sz w:val="20"/>
                <w:lang w:val="uk-UA"/>
              </w:rPr>
            </w:pPr>
          </w:p>
        </w:tc>
      </w:tr>
      <w:tr w:rsidR="008E7C7C" w:rsidRPr="00C04968" w:rsidTr="00365349">
        <w:tc>
          <w:tcPr>
            <w:tcW w:w="540" w:type="dxa"/>
            <w:vAlign w:val="center"/>
          </w:tcPr>
          <w:p w:rsidR="008E7C7C" w:rsidRPr="00C74D61" w:rsidRDefault="008E7C7C" w:rsidP="00C74D61">
            <w:pPr>
              <w:jc w:val="center"/>
              <w:rPr>
                <w:bCs/>
                <w:color w:val="000000"/>
                <w:sz w:val="20"/>
                <w:szCs w:val="20"/>
              </w:rPr>
            </w:pPr>
            <w:r w:rsidRPr="00C74D61">
              <w:rPr>
                <w:bCs/>
                <w:color w:val="000000"/>
                <w:sz w:val="20"/>
                <w:szCs w:val="20"/>
              </w:rPr>
              <w:t>VIІ</w:t>
            </w:r>
          </w:p>
        </w:tc>
        <w:tc>
          <w:tcPr>
            <w:tcW w:w="1620" w:type="dxa"/>
            <w:vAlign w:val="center"/>
          </w:tcPr>
          <w:p w:rsidR="008E7C7C" w:rsidRPr="00C74D61" w:rsidRDefault="008E7C7C" w:rsidP="00C74D61">
            <w:pPr>
              <w:jc w:val="center"/>
              <w:rPr>
                <w:color w:val="000000"/>
                <w:sz w:val="20"/>
                <w:szCs w:val="20"/>
              </w:rPr>
            </w:pPr>
            <w:r w:rsidRPr="00C74D61">
              <w:rPr>
                <w:color w:val="000000"/>
                <w:sz w:val="20"/>
                <w:szCs w:val="20"/>
              </w:rPr>
              <w:t>Реалізація вимог Закону України «Про військовий обов'язок і військову службу», Закону України «Про мобілізаційну підготовку та мобілізацію»</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7.1.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фінансування на оплату праці з нарахуваннями працівників, задіяних в військово-лікарській комісіях</w:t>
            </w:r>
          </w:p>
          <w:p w:rsidR="008E7C7C" w:rsidRPr="00C74D61" w:rsidRDefault="008E7C7C" w:rsidP="00C74D61">
            <w:pPr>
              <w:jc w:val="center"/>
              <w:rPr>
                <w:color w:val="000000"/>
                <w:sz w:val="20"/>
                <w:szCs w:val="20"/>
              </w:rPr>
            </w:pP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«МЛ №2»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кількість працівників задіяних у ВЛК</w:t>
            </w:r>
          </w:p>
        </w:tc>
        <w:tc>
          <w:tcPr>
            <w:tcW w:w="5940" w:type="dxa"/>
          </w:tcPr>
          <w:p w:rsidR="008E7C7C" w:rsidRPr="00C74D61" w:rsidRDefault="008E7C7C" w:rsidP="00FC0308">
            <w:pPr>
              <w:jc w:val="both"/>
              <w:rPr>
                <w:color w:val="FF0000"/>
                <w:sz w:val="20"/>
                <w:lang w:val="uk-UA"/>
              </w:rPr>
            </w:pPr>
            <w:r w:rsidRPr="00C74D61">
              <w:rPr>
                <w:bCs/>
                <w:sz w:val="20"/>
                <w:lang w:val="uk-UA"/>
              </w:rPr>
              <w:t xml:space="preserve">     Керуючись статтею 36 Закону України «Про місцеве самоврядування в Україні», відповідно до вимог </w:t>
            </w:r>
            <w:r w:rsidRPr="00C74D61">
              <w:rPr>
                <w:sz w:val="20"/>
                <w:lang w:val="uk-UA"/>
              </w:rPr>
              <w:t>Закону України від 04.04.2006 №</w:t>
            </w:r>
            <w:r w:rsidRPr="00C74D61">
              <w:rPr>
                <w:sz w:val="20"/>
              </w:rPr>
              <w:t> </w:t>
            </w:r>
            <w:r w:rsidRPr="00C74D61">
              <w:rPr>
                <w:sz w:val="20"/>
                <w:lang w:val="uk-UA"/>
              </w:rPr>
              <w:t>3597-І</w:t>
            </w:r>
            <w:r w:rsidRPr="00C74D61">
              <w:rPr>
                <w:sz w:val="20"/>
              </w:rPr>
              <w:t>V</w:t>
            </w:r>
            <w:r w:rsidRPr="00C74D61">
              <w:rPr>
                <w:sz w:val="20"/>
                <w:lang w:val="uk-UA"/>
              </w:rPr>
              <w:t xml:space="preserve"> «Про внесення змін до Закону України «Про загальний військовий обов’язок і військову службу», постанови Кабінету Міністрів України від </w:t>
            </w:r>
            <w:r w:rsidRPr="00C74D61">
              <w:rPr>
                <w:bCs/>
                <w:sz w:val="20"/>
                <w:lang w:val="uk-UA"/>
              </w:rPr>
              <w:t>21.03.2002 №</w:t>
            </w:r>
            <w:r w:rsidRPr="00C74D61">
              <w:rPr>
                <w:bCs/>
                <w:sz w:val="20"/>
              </w:rPr>
              <w:t> </w:t>
            </w:r>
            <w:r w:rsidRPr="00C74D61">
              <w:rPr>
                <w:bCs/>
                <w:sz w:val="20"/>
                <w:lang w:val="uk-UA"/>
              </w:rPr>
              <w:t xml:space="preserve">352 </w:t>
            </w:r>
            <w:bookmarkStart w:id="1" w:name="o3"/>
            <w:bookmarkEnd w:id="1"/>
            <w:r w:rsidRPr="00C74D61">
              <w:rPr>
                <w:bCs/>
                <w:sz w:val="20"/>
                <w:lang w:val="uk-UA"/>
              </w:rPr>
              <w:t xml:space="preserve">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(зі змінами), наказу Міністерства оборони України від 14.08.2008 №</w:t>
            </w:r>
            <w:r w:rsidRPr="00C74D61">
              <w:rPr>
                <w:bCs/>
                <w:sz w:val="20"/>
              </w:rPr>
              <w:t> </w:t>
            </w:r>
            <w:r w:rsidRPr="00C74D61">
              <w:rPr>
                <w:bCs/>
                <w:sz w:val="20"/>
                <w:lang w:val="uk-UA"/>
              </w:rPr>
              <w:t>402 «</w:t>
            </w:r>
            <w:r w:rsidRPr="00C74D61">
              <w:rPr>
                <w:bCs/>
                <w:color w:val="000000"/>
                <w:sz w:val="20"/>
                <w:shd w:val="clear" w:color="auto" w:fill="FFFFFF"/>
                <w:lang w:val="uk-UA"/>
              </w:rPr>
              <w:t>Про затвердження Положення про військово-лікарську експертизу в Збройних Силах України»,</w:t>
            </w:r>
            <w:r w:rsidRPr="00C74D61">
              <w:rPr>
                <w:bCs/>
                <w:sz w:val="20"/>
                <w:lang w:val="uk-UA"/>
              </w:rPr>
              <w:t xml:space="preserve"> відповідно до окремих розпоряджень Рівненського міського голови </w:t>
            </w:r>
            <w:r w:rsidRPr="00C74D61">
              <w:rPr>
                <w:sz w:val="20"/>
                <w:lang w:val="uk-UA"/>
              </w:rPr>
              <w:t>утворено та забезпечено роботу медичної призовної комісії на базі Комунального некомерційного підприємства «Міська лікарня №2» Рівненської міської ради.</w:t>
            </w:r>
          </w:p>
          <w:p w:rsidR="008E7C7C" w:rsidRPr="00C74D61" w:rsidRDefault="008E7C7C" w:rsidP="00FC0308">
            <w:pPr>
              <w:jc w:val="both"/>
              <w:rPr>
                <w:sz w:val="20"/>
                <w:szCs w:val="20"/>
                <w:lang w:val="uk-UA"/>
              </w:rPr>
            </w:pPr>
            <w:r w:rsidRPr="00C74D61">
              <w:rPr>
                <w:color w:val="FF0000"/>
                <w:sz w:val="20"/>
                <w:lang w:val="uk-UA"/>
              </w:rPr>
              <w:t xml:space="preserve">     </w:t>
            </w:r>
            <w:r w:rsidRPr="00E406A2">
              <w:rPr>
                <w:sz w:val="20"/>
                <w:lang w:val="uk-UA"/>
              </w:rPr>
              <w:t xml:space="preserve">Станом на </w:t>
            </w:r>
            <w:r>
              <w:rPr>
                <w:sz w:val="20"/>
                <w:lang w:val="uk-UA"/>
              </w:rPr>
              <w:t>30</w:t>
            </w:r>
            <w:r w:rsidRPr="00E406A2">
              <w:rPr>
                <w:sz w:val="20"/>
                <w:lang w:val="uk-UA"/>
              </w:rPr>
              <w:t>.</w:t>
            </w:r>
            <w:r>
              <w:rPr>
                <w:sz w:val="20"/>
                <w:lang w:val="uk-UA"/>
              </w:rPr>
              <w:t>03</w:t>
            </w:r>
            <w:r w:rsidRPr="00E406A2">
              <w:rPr>
                <w:sz w:val="20"/>
                <w:lang w:val="uk-UA"/>
              </w:rPr>
              <w:t>.202</w:t>
            </w:r>
            <w:r>
              <w:rPr>
                <w:sz w:val="20"/>
                <w:lang w:val="uk-UA"/>
              </w:rPr>
              <w:t>4</w:t>
            </w:r>
            <w:r w:rsidRPr="00E406A2">
              <w:rPr>
                <w:sz w:val="20"/>
                <w:lang w:val="uk-UA"/>
              </w:rPr>
              <w:t xml:space="preserve"> у медичній призовній комісії (військово-лікарській комісії) КНП «Міська лікарня №2» РМР задіяно 20 працівників: 10 лікарів-спеціалістів, 8 медичних сестер та 2 – інший персонал.</w:t>
            </w:r>
          </w:p>
        </w:tc>
      </w:tr>
      <w:tr w:rsidR="008E7C7C" w:rsidRPr="00C74D61" w:rsidTr="00C74D61">
        <w:tc>
          <w:tcPr>
            <w:tcW w:w="540" w:type="dxa"/>
          </w:tcPr>
          <w:p w:rsidR="008E7C7C" w:rsidRPr="00C74D61" w:rsidRDefault="008E7C7C" w:rsidP="00C74D61">
            <w:pPr>
              <w:jc w:val="both"/>
              <w:rPr>
                <w:sz w:val="20"/>
                <w:szCs w:val="20"/>
                <w:lang w:val="uk-UA"/>
              </w:rPr>
            </w:pPr>
          </w:p>
        </w:tc>
        <w:tc>
          <w:tcPr>
            <w:tcW w:w="1620" w:type="dxa"/>
          </w:tcPr>
          <w:p w:rsidR="008E7C7C" w:rsidRPr="00C74D61" w:rsidRDefault="008E7C7C" w:rsidP="00C74D61">
            <w:pPr>
              <w:jc w:val="both"/>
              <w:rPr>
                <w:sz w:val="20"/>
                <w:szCs w:val="20"/>
                <w:lang w:val="uk-UA"/>
              </w:rPr>
            </w:pPr>
            <w:r>
              <w:rPr>
                <w:sz w:val="20"/>
                <w:szCs w:val="20"/>
                <w:lang w:val="uk-UA"/>
              </w:rPr>
              <w:t xml:space="preserve">   </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7.2.</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фінансування на вироби медичного призначення та інше поточне утримання для проведення медичних оглядів, обстеження і визначення ступеня придатності до військової служби</w:t>
            </w:r>
          </w:p>
        </w:tc>
        <w:tc>
          <w:tcPr>
            <w:tcW w:w="2880" w:type="dxa"/>
            <w:vAlign w:val="center"/>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КНП «МЛ №2» РМР,</w:t>
            </w:r>
            <w:r w:rsidRPr="00C74D61">
              <w:rPr>
                <w:color w:val="000000"/>
                <w:sz w:val="20"/>
                <w:szCs w:val="20"/>
              </w:rPr>
              <w:br/>
              <w:t xml:space="preserve"> КНП «МДЛ»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кількість осіб, яким проведено огляд;</w:t>
            </w:r>
          </w:p>
          <w:p w:rsidR="008E7C7C" w:rsidRPr="00C74D61" w:rsidRDefault="008E7C7C" w:rsidP="00C74D61">
            <w:pPr>
              <w:jc w:val="center"/>
              <w:rPr>
                <w:sz w:val="20"/>
                <w:szCs w:val="20"/>
                <w:lang w:val="uk-UA"/>
              </w:rPr>
            </w:pPr>
            <w:r w:rsidRPr="00C74D61">
              <w:rPr>
                <w:sz w:val="20"/>
                <w:szCs w:val="20"/>
                <w:lang w:val="uk-UA"/>
              </w:rPr>
              <w:t>- перелік та кількість обстежень</w:t>
            </w:r>
          </w:p>
        </w:tc>
        <w:tc>
          <w:tcPr>
            <w:tcW w:w="5940" w:type="dxa"/>
          </w:tcPr>
          <w:p w:rsidR="008E7C7C" w:rsidRPr="00AF267C" w:rsidRDefault="008E7C7C" w:rsidP="00C74D61">
            <w:pPr>
              <w:jc w:val="both"/>
              <w:rPr>
                <w:sz w:val="20"/>
                <w:lang w:val="uk-UA"/>
              </w:rPr>
            </w:pPr>
            <w:r w:rsidRPr="00C74D61">
              <w:rPr>
                <w:sz w:val="20"/>
                <w:lang w:val="uk-UA"/>
              </w:rPr>
              <w:t xml:space="preserve">     Військово-лікарською комісією КНП «Міська лікарня № 2» РМР протягом </w:t>
            </w:r>
            <w:r>
              <w:rPr>
                <w:sz w:val="20"/>
                <w:lang w:val="uk-UA"/>
              </w:rPr>
              <w:t xml:space="preserve">звітнього періоду </w:t>
            </w:r>
            <w:r w:rsidRPr="00C74D61">
              <w:rPr>
                <w:sz w:val="20"/>
                <w:lang w:val="uk-UA"/>
              </w:rPr>
              <w:t xml:space="preserve"> 202</w:t>
            </w:r>
            <w:r>
              <w:rPr>
                <w:sz w:val="20"/>
                <w:lang w:val="uk-UA"/>
              </w:rPr>
              <w:t>4</w:t>
            </w:r>
            <w:r w:rsidRPr="00C74D61">
              <w:rPr>
                <w:sz w:val="20"/>
                <w:lang w:val="uk-UA"/>
              </w:rPr>
              <w:t xml:space="preserve"> року проведено медичні огляди </w:t>
            </w:r>
            <w:r>
              <w:rPr>
                <w:sz w:val="20"/>
                <w:lang w:val="uk-UA"/>
              </w:rPr>
              <w:t>3736</w:t>
            </w:r>
            <w:r w:rsidRPr="00C74D61">
              <w:rPr>
                <w:sz w:val="20"/>
                <w:lang w:val="uk-UA"/>
              </w:rPr>
              <w:t xml:space="preserve"> ос</w:t>
            </w:r>
            <w:r>
              <w:rPr>
                <w:sz w:val="20"/>
                <w:lang w:val="uk-UA"/>
              </w:rPr>
              <w:t>обам</w:t>
            </w:r>
            <w:r w:rsidRPr="00C74D61">
              <w:rPr>
                <w:sz w:val="20"/>
                <w:lang w:val="uk-UA"/>
              </w:rPr>
              <w:t xml:space="preserve"> з метою визначення ступеня придатності до військової служби. </w:t>
            </w:r>
            <w:r w:rsidRPr="00AF267C">
              <w:rPr>
                <w:sz w:val="20"/>
                <w:lang w:val="uk-UA"/>
              </w:rPr>
              <w:t>Окрім того, даній категорії осіб проведено лабораторні обстеження:</w:t>
            </w:r>
            <w:r>
              <w:rPr>
                <w:sz w:val="20"/>
                <w:lang w:val="uk-UA"/>
              </w:rPr>
              <w:t xml:space="preserve"> </w:t>
            </w:r>
          </w:p>
          <w:p w:rsidR="008E7C7C" w:rsidRPr="00C74D61" w:rsidRDefault="008E7C7C" w:rsidP="00C74D61">
            <w:pPr>
              <w:jc w:val="both"/>
              <w:rPr>
                <w:sz w:val="20"/>
              </w:rPr>
            </w:pPr>
            <w:r w:rsidRPr="00C74D61">
              <w:rPr>
                <w:sz w:val="20"/>
              </w:rPr>
              <w:t xml:space="preserve">- загальний аналіз крові – </w:t>
            </w:r>
            <w:r>
              <w:rPr>
                <w:sz w:val="20"/>
                <w:lang w:val="uk-UA"/>
              </w:rPr>
              <w:t>3736</w:t>
            </w:r>
            <w:r w:rsidRPr="00C74D61">
              <w:rPr>
                <w:sz w:val="20"/>
              </w:rPr>
              <w:t>;</w:t>
            </w:r>
          </w:p>
          <w:p w:rsidR="008E7C7C" w:rsidRPr="00C74D61" w:rsidRDefault="008E7C7C" w:rsidP="00C74D61">
            <w:pPr>
              <w:jc w:val="both"/>
              <w:rPr>
                <w:sz w:val="20"/>
              </w:rPr>
            </w:pPr>
            <w:r w:rsidRPr="00C74D61">
              <w:rPr>
                <w:sz w:val="20"/>
              </w:rPr>
              <w:t xml:space="preserve">- біохімічний аналіз крові </w:t>
            </w:r>
            <w:r>
              <w:rPr>
                <w:sz w:val="20"/>
              </w:rPr>
              <w:t>–</w:t>
            </w:r>
            <w:r w:rsidRPr="00C74D61">
              <w:rPr>
                <w:sz w:val="20"/>
              </w:rPr>
              <w:t xml:space="preserve"> </w:t>
            </w:r>
            <w:r>
              <w:rPr>
                <w:sz w:val="20"/>
                <w:lang w:val="uk-UA"/>
              </w:rPr>
              <w:t xml:space="preserve">3736 </w:t>
            </w:r>
            <w:r w:rsidRPr="00C74D61">
              <w:rPr>
                <w:sz w:val="20"/>
              </w:rPr>
              <w:t>;</w:t>
            </w:r>
          </w:p>
          <w:p w:rsidR="008E7C7C" w:rsidRPr="00C74D61" w:rsidRDefault="008E7C7C" w:rsidP="00C74D61">
            <w:pPr>
              <w:jc w:val="both"/>
              <w:rPr>
                <w:sz w:val="20"/>
              </w:rPr>
            </w:pPr>
            <w:r w:rsidRPr="00C74D61">
              <w:rPr>
                <w:sz w:val="20"/>
              </w:rPr>
              <w:t xml:space="preserve">- обстеження на СНІД – </w:t>
            </w:r>
            <w:r>
              <w:rPr>
                <w:sz w:val="20"/>
                <w:lang w:val="uk-UA"/>
              </w:rPr>
              <w:t>3736</w:t>
            </w:r>
            <w:r w:rsidRPr="00C74D61">
              <w:rPr>
                <w:sz w:val="20"/>
              </w:rPr>
              <w:t>;</w:t>
            </w:r>
          </w:p>
          <w:p w:rsidR="008E7C7C" w:rsidRPr="00C74D61" w:rsidRDefault="008E7C7C" w:rsidP="00C74D61">
            <w:pPr>
              <w:jc w:val="both"/>
              <w:rPr>
                <w:sz w:val="20"/>
                <w:szCs w:val="20"/>
                <w:lang w:val="uk-UA"/>
              </w:rPr>
            </w:pPr>
            <w:r w:rsidRPr="00C74D61">
              <w:rPr>
                <w:sz w:val="20"/>
              </w:rPr>
              <w:t xml:space="preserve">- обстеження на Гепатит В – </w:t>
            </w:r>
            <w:r>
              <w:rPr>
                <w:sz w:val="20"/>
                <w:lang w:val="uk-UA"/>
              </w:rPr>
              <w:t>1899</w:t>
            </w:r>
            <w:r w:rsidRPr="00C74D61">
              <w:rPr>
                <w:sz w:val="20"/>
              </w:rPr>
              <w:t>.</w:t>
            </w:r>
          </w:p>
        </w:tc>
      </w:tr>
      <w:tr w:rsidR="008E7C7C" w:rsidRPr="00C74D61" w:rsidTr="00C74D61">
        <w:tc>
          <w:tcPr>
            <w:tcW w:w="540" w:type="dxa"/>
            <w:vAlign w:val="center"/>
          </w:tcPr>
          <w:p w:rsidR="008E7C7C" w:rsidRPr="00C74D61" w:rsidRDefault="008E7C7C" w:rsidP="00C74D61">
            <w:pPr>
              <w:jc w:val="center"/>
              <w:rPr>
                <w:bCs/>
                <w:color w:val="000000"/>
                <w:sz w:val="18"/>
                <w:szCs w:val="18"/>
              </w:rPr>
            </w:pPr>
            <w:r w:rsidRPr="00C74D61">
              <w:rPr>
                <w:bCs/>
                <w:color w:val="000000"/>
                <w:sz w:val="18"/>
                <w:szCs w:val="18"/>
              </w:rPr>
              <w:t>VIІІ</w:t>
            </w:r>
          </w:p>
        </w:tc>
        <w:tc>
          <w:tcPr>
            <w:tcW w:w="16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функціонування інших закладів у сфері охорони здоров’я</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8.1.</w:t>
            </w:r>
          </w:p>
        </w:tc>
        <w:tc>
          <w:tcPr>
            <w:tcW w:w="2520" w:type="dxa"/>
            <w:vAlign w:val="center"/>
          </w:tcPr>
          <w:p w:rsidR="008E7C7C" w:rsidRPr="00C74D61" w:rsidRDefault="008E7C7C" w:rsidP="00C74D61">
            <w:pPr>
              <w:jc w:val="center"/>
              <w:rPr>
                <w:color w:val="000000"/>
                <w:sz w:val="20"/>
                <w:szCs w:val="20"/>
              </w:rPr>
            </w:pPr>
            <w:r w:rsidRPr="00C74D61">
              <w:rPr>
                <w:color w:val="000000"/>
                <w:sz w:val="20"/>
                <w:szCs w:val="20"/>
              </w:rPr>
              <w:t xml:space="preserve">Забезпечення функціонування інформаційно-аналітичного центру виконавчого комітету Рівненської міської ради (заробітна плата з нарахуванням, поточне утримання тощо) </w:t>
            </w:r>
          </w:p>
        </w:tc>
        <w:tc>
          <w:tcPr>
            <w:tcW w:w="2880" w:type="dxa"/>
          </w:tcPr>
          <w:p w:rsidR="008E7C7C" w:rsidRPr="00C74D61" w:rsidRDefault="008E7C7C" w:rsidP="00C74D61">
            <w:pPr>
              <w:jc w:val="center"/>
              <w:rPr>
                <w:color w:val="000000"/>
                <w:sz w:val="20"/>
                <w:szCs w:val="20"/>
                <w:lang w:val="uk-UA"/>
              </w:rPr>
            </w:pPr>
          </w:p>
          <w:p w:rsidR="008E7C7C" w:rsidRPr="00C74D61" w:rsidRDefault="008E7C7C" w:rsidP="00C74D61">
            <w:pPr>
              <w:jc w:val="center"/>
              <w:rPr>
                <w:color w:val="000000"/>
                <w:sz w:val="20"/>
                <w:szCs w:val="20"/>
                <w:lang w:val="uk-UA"/>
              </w:rPr>
            </w:pPr>
          </w:p>
          <w:p w:rsidR="008E7C7C" w:rsidRPr="00C74D61" w:rsidRDefault="008E7C7C" w:rsidP="00C74D61">
            <w:pPr>
              <w:jc w:val="center"/>
              <w:rPr>
                <w:color w:val="000000"/>
                <w:sz w:val="20"/>
                <w:szCs w:val="20"/>
                <w:lang w:val="uk-UA"/>
              </w:rPr>
            </w:pPr>
          </w:p>
          <w:p w:rsidR="008E7C7C" w:rsidRPr="00C74D61" w:rsidRDefault="008E7C7C" w:rsidP="00C74D61">
            <w:pPr>
              <w:jc w:val="center"/>
              <w:rPr>
                <w:color w:val="000000"/>
                <w:sz w:val="20"/>
                <w:szCs w:val="20"/>
                <w:lang w:val="uk-UA"/>
              </w:rPr>
            </w:pPr>
          </w:p>
          <w:p w:rsidR="008E7C7C" w:rsidRPr="00C74D61" w:rsidRDefault="008E7C7C" w:rsidP="00C74D61">
            <w:pPr>
              <w:jc w:val="center"/>
              <w:rPr>
                <w:color w:val="000000"/>
                <w:sz w:val="20"/>
                <w:szCs w:val="20"/>
                <w:lang w:val="uk-UA"/>
              </w:rPr>
            </w:pPr>
          </w:p>
          <w:p w:rsidR="008E7C7C" w:rsidRPr="00C74D61" w:rsidRDefault="008E7C7C" w:rsidP="00C74D61">
            <w:pPr>
              <w:jc w:val="center"/>
              <w:rPr>
                <w:color w:val="000000"/>
                <w:sz w:val="20"/>
                <w:szCs w:val="20"/>
                <w:lang w:val="uk-UA"/>
              </w:rPr>
            </w:pPr>
          </w:p>
          <w:p w:rsidR="008E7C7C" w:rsidRPr="00C74D61" w:rsidRDefault="008E7C7C" w:rsidP="00C74D61">
            <w:pPr>
              <w:jc w:val="center"/>
              <w:rPr>
                <w:sz w:val="20"/>
                <w:szCs w:val="20"/>
                <w:lang w:val="uk-UA"/>
              </w:rPr>
            </w:pPr>
            <w:r w:rsidRPr="00C74D61">
              <w:rPr>
                <w:color w:val="000000"/>
                <w:sz w:val="20"/>
                <w:szCs w:val="20"/>
              </w:rPr>
              <w:t>Управління охорони здоров'я</w:t>
            </w:r>
          </w:p>
        </w:tc>
        <w:tc>
          <w:tcPr>
            <w:tcW w:w="2160" w:type="dxa"/>
          </w:tcPr>
          <w:p w:rsidR="008E7C7C" w:rsidRPr="00C74D61" w:rsidRDefault="008E7C7C" w:rsidP="00C74D61">
            <w:pPr>
              <w:jc w:val="both"/>
              <w:rPr>
                <w:sz w:val="19"/>
                <w:szCs w:val="19"/>
                <w:lang w:val="uk-UA"/>
              </w:rPr>
            </w:pPr>
            <w:r w:rsidRPr="00C74D61">
              <w:rPr>
                <w:sz w:val="19"/>
                <w:szCs w:val="19"/>
                <w:lang w:val="uk-UA"/>
              </w:rPr>
              <w:t>- кількість підготованих проектів рішень Рівненської міської ради;</w:t>
            </w:r>
          </w:p>
          <w:p w:rsidR="008E7C7C" w:rsidRPr="00C74D61" w:rsidRDefault="008E7C7C" w:rsidP="00C74D61">
            <w:pPr>
              <w:jc w:val="both"/>
              <w:rPr>
                <w:sz w:val="19"/>
                <w:szCs w:val="19"/>
                <w:lang w:val="uk-UA"/>
              </w:rPr>
            </w:pPr>
            <w:r w:rsidRPr="00C74D61">
              <w:rPr>
                <w:sz w:val="19"/>
                <w:szCs w:val="19"/>
                <w:lang w:val="uk-UA"/>
              </w:rPr>
              <w:t>- кількість підготованих проектів рішень виконавчого комітету;</w:t>
            </w:r>
          </w:p>
          <w:p w:rsidR="008E7C7C" w:rsidRPr="00C74D61" w:rsidRDefault="008E7C7C" w:rsidP="00C74D61">
            <w:pPr>
              <w:jc w:val="both"/>
              <w:rPr>
                <w:sz w:val="19"/>
                <w:szCs w:val="19"/>
                <w:lang w:val="uk-UA"/>
              </w:rPr>
            </w:pPr>
            <w:r w:rsidRPr="00C74D61">
              <w:rPr>
                <w:sz w:val="19"/>
                <w:szCs w:val="19"/>
                <w:lang w:val="uk-UA"/>
              </w:rPr>
              <w:t>- кількість підготованих наказів;</w:t>
            </w:r>
          </w:p>
          <w:p w:rsidR="008E7C7C" w:rsidRPr="00C74D61" w:rsidRDefault="008E7C7C" w:rsidP="00C74D61">
            <w:pPr>
              <w:jc w:val="both"/>
              <w:rPr>
                <w:sz w:val="19"/>
                <w:szCs w:val="19"/>
                <w:lang w:val="uk-UA"/>
              </w:rPr>
            </w:pPr>
            <w:r w:rsidRPr="00C74D61">
              <w:rPr>
                <w:sz w:val="19"/>
                <w:szCs w:val="19"/>
                <w:lang w:val="uk-UA"/>
              </w:rPr>
              <w:t>- кількість опрацьованих скарг та звернень громадян;</w:t>
            </w:r>
          </w:p>
          <w:p w:rsidR="008E7C7C" w:rsidRPr="00C74D61" w:rsidRDefault="008E7C7C" w:rsidP="00C74D61">
            <w:pPr>
              <w:jc w:val="both"/>
              <w:rPr>
                <w:sz w:val="19"/>
                <w:szCs w:val="19"/>
                <w:lang w:val="uk-UA"/>
              </w:rPr>
            </w:pPr>
            <w:r w:rsidRPr="00C74D61">
              <w:rPr>
                <w:sz w:val="19"/>
                <w:szCs w:val="19"/>
                <w:lang w:val="uk-UA"/>
              </w:rPr>
              <w:t>- кількість контрольних справ (динамічний показник);</w:t>
            </w:r>
          </w:p>
          <w:p w:rsidR="008E7C7C" w:rsidRPr="00C74D61" w:rsidRDefault="008E7C7C" w:rsidP="00C74D61">
            <w:pPr>
              <w:jc w:val="both"/>
              <w:rPr>
                <w:sz w:val="19"/>
                <w:szCs w:val="19"/>
                <w:lang w:val="uk-UA"/>
              </w:rPr>
            </w:pPr>
            <w:r w:rsidRPr="00C74D61">
              <w:rPr>
                <w:sz w:val="19"/>
                <w:szCs w:val="19"/>
                <w:lang w:val="uk-UA"/>
              </w:rPr>
              <w:t>- кількість статистичних звітних форм та інформацій (динамічний показник)</w:t>
            </w:r>
          </w:p>
        </w:tc>
        <w:tc>
          <w:tcPr>
            <w:tcW w:w="5940" w:type="dxa"/>
          </w:tcPr>
          <w:p w:rsidR="008E7C7C" w:rsidRPr="00D049FB" w:rsidRDefault="008E7C7C" w:rsidP="00C74D61">
            <w:pPr>
              <w:jc w:val="both"/>
              <w:rPr>
                <w:sz w:val="20"/>
                <w:lang w:val="uk-UA"/>
              </w:rPr>
            </w:pPr>
            <w:r w:rsidRPr="00C74D61">
              <w:rPr>
                <w:bCs/>
                <w:iCs/>
                <w:sz w:val="20"/>
                <w:lang w:val="uk-UA"/>
              </w:rPr>
              <w:t xml:space="preserve">     </w:t>
            </w:r>
            <w:r w:rsidRPr="00D049FB">
              <w:rPr>
                <w:bCs/>
                <w:iCs/>
                <w:sz w:val="20"/>
                <w:lang w:val="uk-UA"/>
              </w:rPr>
              <w:t xml:space="preserve">За </w:t>
            </w:r>
            <w:r>
              <w:rPr>
                <w:bCs/>
                <w:iCs/>
                <w:sz w:val="20"/>
                <w:lang w:val="uk-UA"/>
              </w:rPr>
              <w:t>звітній період</w:t>
            </w:r>
            <w:r w:rsidRPr="00D049FB">
              <w:rPr>
                <w:bCs/>
                <w:iCs/>
                <w:sz w:val="20"/>
                <w:lang w:val="uk-UA"/>
              </w:rPr>
              <w:t xml:space="preserve"> 202</w:t>
            </w:r>
            <w:r>
              <w:rPr>
                <w:bCs/>
                <w:iCs/>
                <w:sz w:val="20"/>
                <w:lang w:val="uk-UA"/>
              </w:rPr>
              <w:t>4</w:t>
            </w:r>
            <w:r w:rsidRPr="00D049FB">
              <w:rPr>
                <w:bCs/>
                <w:iCs/>
                <w:sz w:val="20"/>
                <w:lang w:val="uk-UA"/>
              </w:rPr>
              <w:t xml:space="preserve"> року</w:t>
            </w:r>
            <w:r w:rsidRPr="00D049FB">
              <w:rPr>
                <w:sz w:val="20"/>
                <w:lang w:val="uk-UA"/>
              </w:rPr>
              <w:t xml:space="preserve"> інформаційно-аналітичним центром управління охорони здоров'я виконавчого комітету Рівненської міської ради:</w:t>
            </w:r>
          </w:p>
          <w:p w:rsidR="008E7C7C" w:rsidRPr="00C74D61" w:rsidRDefault="008E7C7C" w:rsidP="00C74D61">
            <w:pPr>
              <w:jc w:val="both"/>
              <w:rPr>
                <w:sz w:val="20"/>
              </w:rPr>
            </w:pPr>
            <w:r w:rsidRPr="00C74D61">
              <w:rPr>
                <w:sz w:val="20"/>
              </w:rPr>
              <w:t>-</w:t>
            </w:r>
            <w:r w:rsidRPr="00C74D61">
              <w:rPr>
                <w:i/>
                <w:iCs/>
                <w:sz w:val="20"/>
              </w:rPr>
              <w:t xml:space="preserve"> </w:t>
            </w:r>
            <w:r w:rsidRPr="00C74D61">
              <w:rPr>
                <w:sz w:val="20"/>
              </w:rPr>
              <w:t>підготовано проєктів рішень Рівненської міської ради -</w:t>
            </w:r>
            <w:r>
              <w:rPr>
                <w:sz w:val="20"/>
                <w:lang w:val="uk-UA"/>
              </w:rPr>
              <w:t xml:space="preserve"> 2</w:t>
            </w:r>
            <w:r>
              <w:rPr>
                <w:sz w:val="20"/>
              </w:rPr>
              <w:t>9</w:t>
            </w:r>
            <w:r>
              <w:rPr>
                <w:sz w:val="20"/>
                <w:lang w:val="uk-UA"/>
              </w:rPr>
              <w:t>2</w:t>
            </w:r>
            <w:r w:rsidRPr="00C74D61">
              <w:rPr>
                <w:sz w:val="20"/>
              </w:rPr>
              <w:t xml:space="preserve"> ;</w:t>
            </w:r>
          </w:p>
          <w:p w:rsidR="008E7C7C" w:rsidRPr="00C74D61" w:rsidRDefault="008E7C7C" w:rsidP="00C74D61">
            <w:pPr>
              <w:jc w:val="both"/>
              <w:rPr>
                <w:sz w:val="20"/>
              </w:rPr>
            </w:pPr>
            <w:r w:rsidRPr="00C74D61">
              <w:rPr>
                <w:i/>
                <w:iCs/>
                <w:sz w:val="20"/>
              </w:rPr>
              <w:t xml:space="preserve">- </w:t>
            </w:r>
            <w:r w:rsidRPr="00C74D61">
              <w:rPr>
                <w:sz w:val="20"/>
              </w:rPr>
              <w:t>підготовано проєктів рішень виконавчого комітету -</w:t>
            </w:r>
            <w:r>
              <w:rPr>
                <w:sz w:val="20"/>
              </w:rPr>
              <w:t xml:space="preserve"> </w:t>
            </w:r>
            <w:r>
              <w:rPr>
                <w:sz w:val="20"/>
                <w:lang w:val="uk-UA"/>
              </w:rPr>
              <w:t>4</w:t>
            </w:r>
            <w:r w:rsidRPr="00C74D61">
              <w:rPr>
                <w:sz w:val="20"/>
              </w:rPr>
              <w:t xml:space="preserve"> ;</w:t>
            </w:r>
          </w:p>
          <w:p w:rsidR="008E7C7C" w:rsidRPr="00C74D61" w:rsidRDefault="008E7C7C" w:rsidP="00C74D61">
            <w:pPr>
              <w:jc w:val="both"/>
              <w:rPr>
                <w:sz w:val="20"/>
              </w:rPr>
            </w:pPr>
            <w:r w:rsidRPr="00C74D61">
              <w:rPr>
                <w:sz w:val="20"/>
              </w:rPr>
              <w:t xml:space="preserve">- підготовано наказів - </w:t>
            </w:r>
            <w:r>
              <w:rPr>
                <w:sz w:val="20"/>
                <w:lang w:val="uk-UA"/>
              </w:rPr>
              <w:t>57</w:t>
            </w:r>
            <w:r w:rsidRPr="00C74D61">
              <w:rPr>
                <w:sz w:val="20"/>
              </w:rPr>
              <w:t>;</w:t>
            </w:r>
          </w:p>
          <w:p w:rsidR="008E7C7C" w:rsidRPr="00C74D61" w:rsidRDefault="008E7C7C" w:rsidP="00C74D61">
            <w:pPr>
              <w:jc w:val="both"/>
              <w:rPr>
                <w:sz w:val="20"/>
              </w:rPr>
            </w:pPr>
            <w:r w:rsidRPr="00C74D61">
              <w:rPr>
                <w:sz w:val="20"/>
              </w:rPr>
              <w:t>- опрацьовано скарг та звернень громадян –</w:t>
            </w:r>
            <w:r>
              <w:rPr>
                <w:sz w:val="20"/>
              </w:rPr>
              <w:t xml:space="preserve"> </w:t>
            </w:r>
            <w:r>
              <w:rPr>
                <w:sz w:val="20"/>
                <w:lang w:val="uk-UA"/>
              </w:rPr>
              <w:t>556</w:t>
            </w:r>
            <w:r w:rsidRPr="00C74D61">
              <w:rPr>
                <w:iCs/>
                <w:sz w:val="20"/>
              </w:rPr>
              <w:t xml:space="preserve"> </w:t>
            </w:r>
            <w:r w:rsidRPr="00C74D61">
              <w:rPr>
                <w:i/>
                <w:iCs/>
                <w:sz w:val="20"/>
              </w:rPr>
              <w:t>;</w:t>
            </w:r>
          </w:p>
          <w:p w:rsidR="008E7C7C" w:rsidRPr="00C74D61" w:rsidRDefault="008E7C7C" w:rsidP="00C74D61">
            <w:pPr>
              <w:jc w:val="both"/>
              <w:rPr>
                <w:sz w:val="20"/>
              </w:rPr>
            </w:pPr>
            <w:r w:rsidRPr="00C74D61">
              <w:rPr>
                <w:iCs/>
                <w:sz w:val="20"/>
              </w:rPr>
              <w:t>- на контролі перебуває 123</w:t>
            </w:r>
            <w:r w:rsidRPr="00C74D61">
              <w:rPr>
                <w:sz w:val="20"/>
              </w:rPr>
              <w:t xml:space="preserve"> справи, з інтервалом виконання, згідно нормативних документів: щоденно, щотижнево, щомісячно, щоквартально, тощо;</w:t>
            </w:r>
          </w:p>
          <w:p w:rsidR="008E7C7C" w:rsidRPr="00C74D61" w:rsidRDefault="008E7C7C" w:rsidP="00C74D61">
            <w:pPr>
              <w:jc w:val="both"/>
              <w:rPr>
                <w:sz w:val="20"/>
                <w:szCs w:val="20"/>
                <w:lang w:val="uk-UA"/>
              </w:rPr>
            </w:pPr>
            <w:r w:rsidRPr="00C74D61">
              <w:rPr>
                <w:sz w:val="20"/>
              </w:rPr>
              <w:t xml:space="preserve">- здійснюється збір, обробка та формування показників по </w:t>
            </w:r>
            <w:r w:rsidRPr="00C74D61">
              <w:rPr>
                <w:iCs/>
                <w:sz w:val="20"/>
              </w:rPr>
              <w:t>45</w:t>
            </w:r>
            <w:r w:rsidRPr="00C74D61">
              <w:rPr>
                <w:sz w:val="20"/>
              </w:rPr>
              <w:t xml:space="preserve"> статистичних звітних формах та інформаційних таблицях, інше.</w:t>
            </w:r>
          </w:p>
        </w:tc>
      </w:tr>
      <w:tr w:rsidR="008E7C7C" w:rsidRPr="00C74D61" w:rsidTr="00C74D61">
        <w:tc>
          <w:tcPr>
            <w:tcW w:w="540" w:type="dxa"/>
            <w:vAlign w:val="center"/>
          </w:tcPr>
          <w:p w:rsidR="008E7C7C" w:rsidRPr="00C74D61" w:rsidRDefault="008E7C7C" w:rsidP="00C74D61">
            <w:pPr>
              <w:jc w:val="center"/>
              <w:rPr>
                <w:bCs/>
                <w:color w:val="000000"/>
                <w:sz w:val="20"/>
                <w:szCs w:val="20"/>
              </w:rPr>
            </w:pPr>
            <w:r w:rsidRPr="00C74D61">
              <w:rPr>
                <w:bCs/>
                <w:color w:val="000000"/>
                <w:sz w:val="20"/>
                <w:szCs w:val="20"/>
              </w:rPr>
              <w:t>IX</w:t>
            </w:r>
          </w:p>
        </w:tc>
        <w:tc>
          <w:tcPr>
            <w:tcW w:w="1620" w:type="dxa"/>
            <w:vAlign w:val="center"/>
          </w:tcPr>
          <w:p w:rsidR="008E7C7C" w:rsidRPr="00C74D61" w:rsidRDefault="008E7C7C" w:rsidP="00C74D61">
            <w:pPr>
              <w:jc w:val="center"/>
              <w:rPr>
                <w:color w:val="000000"/>
                <w:sz w:val="20"/>
                <w:szCs w:val="20"/>
              </w:rPr>
            </w:pPr>
            <w:r w:rsidRPr="00C74D61">
              <w:rPr>
                <w:color w:val="000000"/>
                <w:sz w:val="20"/>
                <w:szCs w:val="20"/>
              </w:rPr>
              <w:t>Забезпечення проведення обов'язкових профілактичних медичних оглядів працівників бюджетної сфери</w:t>
            </w:r>
          </w:p>
        </w:tc>
        <w:tc>
          <w:tcPr>
            <w:tcW w:w="540" w:type="dxa"/>
            <w:vAlign w:val="center"/>
          </w:tcPr>
          <w:p w:rsidR="008E7C7C" w:rsidRPr="00C74D61" w:rsidRDefault="008E7C7C" w:rsidP="00C74D61">
            <w:pPr>
              <w:jc w:val="center"/>
              <w:rPr>
                <w:color w:val="000000"/>
                <w:sz w:val="20"/>
                <w:szCs w:val="20"/>
              </w:rPr>
            </w:pPr>
            <w:r w:rsidRPr="00C74D61">
              <w:rPr>
                <w:color w:val="000000"/>
                <w:sz w:val="20"/>
                <w:szCs w:val="20"/>
              </w:rPr>
              <w:t>9.1.</w:t>
            </w:r>
          </w:p>
        </w:tc>
        <w:tc>
          <w:tcPr>
            <w:tcW w:w="2520" w:type="dxa"/>
            <w:vAlign w:val="center"/>
          </w:tcPr>
          <w:p w:rsidR="008E7C7C" w:rsidRPr="00C74D61" w:rsidRDefault="008E7C7C" w:rsidP="00C74D61">
            <w:pPr>
              <w:jc w:val="center"/>
              <w:rPr>
                <w:color w:val="000000"/>
                <w:sz w:val="19"/>
                <w:szCs w:val="19"/>
              </w:rPr>
            </w:pPr>
            <w:r w:rsidRPr="00C74D61">
              <w:rPr>
                <w:color w:val="000000"/>
                <w:sz w:val="19"/>
                <w:szCs w:val="19"/>
              </w:rPr>
              <w:t>Забезпечення клініко-діагностичних, бактеріологічної лабораторій реактивами та іншими витратними матеріалами та виробами медичного призначення для проведення обов'язкових профілактичних медичних оглядів працівників бюджетної сфери відповідно до</w:t>
            </w:r>
            <w:r w:rsidRPr="00C74D61">
              <w:rPr>
                <w:color w:val="000000"/>
                <w:sz w:val="19"/>
                <w:szCs w:val="19"/>
                <w:lang w:val="uk-UA"/>
              </w:rPr>
              <w:t xml:space="preserve"> </w:t>
            </w:r>
            <w:r w:rsidRPr="00C74D61">
              <w:rPr>
                <w:color w:val="000000"/>
                <w:sz w:val="19"/>
                <w:szCs w:val="19"/>
              </w:rPr>
              <w:t xml:space="preserve">наказу Міністерства охорони здоров'я України від 23.07.2002 № 280 «Щодо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хвороб» </w:t>
            </w:r>
          </w:p>
        </w:tc>
        <w:tc>
          <w:tcPr>
            <w:tcW w:w="2880" w:type="dxa"/>
          </w:tcPr>
          <w:p w:rsidR="008E7C7C" w:rsidRPr="00C74D61" w:rsidRDefault="008E7C7C" w:rsidP="00C74D61">
            <w:pPr>
              <w:jc w:val="center"/>
              <w:rPr>
                <w:color w:val="000000"/>
                <w:sz w:val="20"/>
                <w:szCs w:val="20"/>
              </w:rPr>
            </w:pPr>
            <w:r w:rsidRPr="00C74D61">
              <w:rPr>
                <w:color w:val="000000"/>
                <w:sz w:val="20"/>
                <w:szCs w:val="20"/>
              </w:rPr>
              <w:t xml:space="preserve">Управління охорони здоров'я, </w:t>
            </w:r>
            <w:r w:rsidRPr="00C74D61">
              <w:rPr>
                <w:color w:val="000000"/>
                <w:sz w:val="20"/>
                <w:szCs w:val="20"/>
              </w:rPr>
              <w:br w:type="page"/>
            </w:r>
          </w:p>
          <w:p w:rsidR="008E7C7C" w:rsidRPr="00C74D61" w:rsidRDefault="008E7C7C" w:rsidP="00C74D61">
            <w:pPr>
              <w:jc w:val="center"/>
              <w:rPr>
                <w:color w:val="000000"/>
                <w:sz w:val="20"/>
                <w:szCs w:val="20"/>
                <w:lang w:val="uk-UA"/>
              </w:rPr>
            </w:pPr>
            <w:r w:rsidRPr="00C74D61">
              <w:rPr>
                <w:color w:val="000000"/>
                <w:sz w:val="20"/>
                <w:szCs w:val="20"/>
              </w:rPr>
              <w:t xml:space="preserve">КНП «ЦМЛ» РМР, </w:t>
            </w:r>
            <w:r w:rsidRPr="00C74D61">
              <w:rPr>
                <w:color w:val="000000"/>
                <w:sz w:val="20"/>
                <w:szCs w:val="20"/>
              </w:rPr>
              <w:br w:type="page"/>
            </w:r>
          </w:p>
          <w:p w:rsidR="008E7C7C" w:rsidRPr="00C74D61" w:rsidRDefault="008E7C7C" w:rsidP="00C74D61">
            <w:pPr>
              <w:jc w:val="center"/>
              <w:rPr>
                <w:sz w:val="20"/>
                <w:szCs w:val="20"/>
                <w:lang w:val="uk-UA"/>
              </w:rPr>
            </w:pPr>
            <w:r w:rsidRPr="00C74D61">
              <w:rPr>
                <w:color w:val="000000"/>
                <w:sz w:val="20"/>
                <w:szCs w:val="20"/>
              </w:rPr>
              <w:t>КНП «МДЛ» РМР</w:t>
            </w:r>
          </w:p>
        </w:tc>
        <w:tc>
          <w:tcPr>
            <w:tcW w:w="2160" w:type="dxa"/>
            <w:vAlign w:val="center"/>
          </w:tcPr>
          <w:p w:rsidR="008E7C7C" w:rsidRPr="00C74D61" w:rsidRDefault="008E7C7C" w:rsidP="00C74D61">
            <w:pPr>
              <w:jc w:val="center"/>
              <w:rPr>
                <w:sz w:val="20"/>
                <w:szCs w:val="20"/>
                <w:lang w:val="uk-UA"/>
              </w:rPr>
            </w:pPr>
            <w:r w:rsidRPr="00C74D61">
              <w:rPr>
                <w:sz w:val="20"/>
                <w:szCs w:val="20"/>
                <w:lang w:val="uk-UA"/>
              </w:rPr>
              <w:t>- кількість оглянутих працівників бюджетної сфери;</w:t>
            </w:r>
          </w:p>
          <w:p w:rsidR="008E7C7C" w:rsidRPr="00C74D61" w:rsidRDefault="008E7C7C" w:rsidP="00C74D61">
            <w:pPr>
              <w:jc w:val="center"/>
              <w:rPr>
                <w:sz w:val="20"/>
                <w:szCs w:val="20"/>
                <w:lang w:val="uk-UA"/>
              </w:rPr>
            </w:pPr>
            <w:r w:rsidRPr="00C74D61">
              <w:rPr>
                <w:sz w:val="20"/>
                <w:szCs w:val="20"/>
                <w:lang w:val="uk-UA"/>
              </w:rPr>
              <w:t>- % огляду працівників бюджетної сфери від запланованого</w:t>
            </w:r>
          </w:p>
        </w:tc>
        <w:tc>
          <w:tcPr>
            <w:tcW w:w="5940" w:type="dxa"/>
          </w:tcPr>
          <w:p w:rsidR="008E7C7C" w:rsidRPr="00C74D61" w:rsidRDefault="008E7C7C" w:rsidP="00C74D61">
            <w:pPr>
              <w:jc w:val="both"/>
              <w:rPr>
                <w:sz w:val="20"/>
                <w:szCs w:val="20"/>
                <w:lang w:val="uk-UA"/>
              </w:rPr>
            </w:pPr>
            <w:r w:rsidRPr="00C74D61">
              <w:rPr>
                <w:b/>
                <w:bCs/>
                <w:i/>
                <w:iCs/>
                <w:sz w:val="20"/>
                <w:lang w:val="uk-UA"/>
              </w:rPr>
              <w:t xml:space="preserve">     </w:t>
            </w:r>
            <w:r w:rsidRPr="00C74D61">
              <w:rPr>
                <w:sz w:val="20"/>
                <w:shd w:val="clear" w:color="auto" w:fill="FFFFFF"/>
                <w:lang w:val="uk-UA"/>
              </w:rPr>
              <w:t>За</w:t>
            </w:r>
            <w:r>
              <w:rPr>
                <w:sz w:val="20"/>
                <w:shd w:val="clear" w:color="auto" w:fill="FFFFFF"/>
                <w:lang w:val="uk-UA"/>
              </w:rPr>
              <w:t xml:space="preserve"> звітний період</w:t>
            </w:r>
            <w:r w:rsidRPr="00C74D61">
              <w:rPr>
                <w:sz w:val="20"/>
                <w:shd w:val="clear" w:color="auto" w:fill="FFFFFF"/>
                <w:lang w:val="uk-UA"/>
              </w:rPr>
              <w:t xml:space="preserve"> 202</w:t>
            </w:r>
            <w:r>
              <w:rPr>
                <w:sz w:val="20"/>
                <w:shd w:val="clear" w:color="auto" w:fill="FFFFFF"/>
                <w:lang w:val="uk-UA"/>
              </w:rPr>
              <w:t>4</w:t>
            </w:r>
            <w:r w:rsidRPr="00C74D61">
              <w:rPr>
                <w:sz w:val="20"/>
                <w:shd w:val="clear" w:color="auto" w:fill="FFFFFF"/>
                <w:lang w:val="uk-UA"/>
              </w:rPr>
              <w:t xml:space="preserve"> року закладами охорони здоров’я Рівненської міської ради оглянуто</w:t>
            </w:r>
            <w:r>
              <w:rPr>
                <w:sz w:val="20"/>
                <w:shd w:val="clear" w:color="auto" w:fill="FFFFFF"/>
                <w:lang w:val="uk-UA"/>
              </w:rPr>
              <w:t xml:space="preserve"> 4016 </w:t>
            </w:r>
            <w:r w:rsidRPr="00C74D61">
              <w:rPr>
                <w:sz w:val="20"/>
                <w:shd w:val="clear" w:color="auto" w:fill="FFFFFF"/>
                <w:lang w:val="uk-UA"/>
              </w:rPr>
              <w:t xml:space="preserve">працівників бюджетної сфери, що становить </w:t>
            </w:r>
            <w:r>
              <w:rPr>
                <w:sz w:val="20"/>
                <w:shd w:val="clear" w:color="auto" w:fill="FFFFFF"/>
                <w:lang w:val="uk-UA"/>
              </w:rPr>
              <w:t>100</w:t>
            </w:r>
            <w:r w:rsidRPr="00C74D61">
              <w:rPr>
                <w:sz w:val="20"/>
                <w:shd w:val="clear" w:color="auto" w:fill="FFFFFF"/>
                <w:lang w:val="uk-UA"/>
              </w:rPr>
              <w:t xml:space="preserve"> % від запланованих оглядів на звітний період</w:t>
            </w:r>
            <w:r w:rsidRPr="00C74D61">
              <w:rPr>
                <w:sz w:val="20"/>
                <w:lang w:val="uk-UA"/>
              </w:rPr>
              <w:t>.</w:t>
            </w:r>
          </w:p>
        </w:tc>
      </w:tr>
    </w:tbl>
    <w:p w:rsidR="008E7C7C" w:rsidRDefault="008E7C7C" w:rsidP="00F564AA">
      <w:pPr>
        <w:rPr>
          <w:sz w:val="26"/>
          <w:szCs w:val="26"/>
          <w:lang w:val="uk-UA"/>
        </w:rPr>
      </w:pPr>
    </w:p>
    <w:p w:rsidR="008E7C7C" w:rsidRDefault="008E7C7C" w:rsidP="00F564AA">
      <w:pPr>
        <w:rPr>
          <w:sz w:val="26"/>
          <w:szCs w:val="26"/>
          <w:lang w:val="uk-UA"/>
        </w:rPr>
      </w:pPr>
    </w:p>
    <w:p w:rsidR="008E7C7C" w:rsidRPr="00F564AA" w:rsidRDefault="008E7C7C" w:rsidP="00F564AA">
      <w:pPr>
        <w:rPr>
          <w:sz w:val="26"/>
          <w:szCs w:val="26"/>
        </w:rPr>
      </w:pPr>
      <w:r w:rsidRPr="00F564AA">
        <w:rPr>
          <w:sz w:val="26"/>
          <w:szCs w:val="26"/>
        </w:rPr>
        <w:t xml:space="preserve">В. о. начальника Управління охорони здоров’я                                                                                 </w:t>
      </w:r>
    </w:p>
    <w:p w:rsidR="008E7C7C" w:rsidRPr="00F564AA" w:rsidRDefault="008E7C7C" w:rsidP="00887F76">
      <w:pPr>
        <w:rPr>
          <w:sz w:val="26"/>
          <w:szCs w:val="26"/>
        </w:rPr>
      </w:pPr>
      <w:r w:rsidRPr="00F564AA">
        <w:rPr>
          <w:sz w:val="26"/>
          <w:szCs w:val="26"/>
        </w:rPr>
        <w:t>виконавчого комітету Рівненської міської ради                                                                                  Лариса ОБУХОВСЬКА</w:t>
      </w:r>
    </w:p>
    <w:sectPr w:rsidR="008E7C7C" w:rsidRPr="00F564AA" w:rsidSect="00887F76">
      <w:headerReference w:type="even" r:id="rId7"/>
      <w:headerReference w:type="default" r:id="rId8"/>
      <w:pgSz w:w="16838" w:h="11906" w:orient="landscape"/>
      <w:pgMar w:top="567" w:right="1134" w:bottom="54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C7C" w:rsidRDefault="008E7C7C">
      <w:r>
        <w:separator/>
      </w:r>
    </w:p>
  </w:endnote>
  <w:endnote w:type="continuationSeparator" w:id="0">
    <w:p w:rsidR="008E7C7C" w:rsidRDefault="008E7C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C7C" w:rsidRDefault="008E7C7C">
      <w:r>
        <w:separator/>
      </w:r>
    </w:p>
  </w:footnote>
  <w:footnote w:type="continuationSeparator" w:id="0">
    <w:p w:rsidR="008E7C7C" w:rsidRDefault="008E7C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C7C" w:rsidRDefault="008E7C7C" w:rsidP="007078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E7C7C" w:rsidRDefault="008E7C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C7C" w:rsidRDefault="008E7C7C" w:rsidP="007078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8E7C7C" w:rsidRDefault="008E7C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02E71"/>
    <w:multiLevelType w:val="hybridMultilevel"/>
    <w:tmpl w:val="C97C155A"/>
    <w:lvl w:ilvl="0" w:tplc="9B3AA77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78519EE"/>
    <w:multiLevelType w:val="hybridMultilevel"/>
    <w:tmpl w:val="59AED5DA"/>
    <w:lvl w:ilvl="0" w:tplc="255A645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8E03B0A"/>
    <w:multiLevelType w:val="hybridMultilevel"/>
    <w:tmpl w:val="6732635A"/>
    <w:lvl w:ilvl="0" w:tplc="F3582C1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A9A5F1B"/>
    <w:multiLevelType w:val="hybridMultilevel"/>
    <w:tmpl w:val="BF9C53EE"/>
    <w:lvl w:ilvl="0" w:tplc="A5006EA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9D70D0"/>
    <w:multiLevelType w:val="hybridMultilevel"/>
    <w:tmpl w:val="3A10DA52"/>
    <w:lvl w:ilvl="0" w:tplc="F852E7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8B92F21"/>
    <w:multiLevelType w:val="hybridMultilevel"/>
    <w:tmpl w:val="F292529A"/>
    <w:lvl w:ilvl="0" w:tplc="B8CCDEC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CA939E0"/>
    <w:multiLevelType w:val="multilevel"/>
    <w:tmpl w:val="6C7E790C"/>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145"/>
        </w:tabs>
        <w:ind w:left="2145" w:hanging="144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505"/>
        </w:tabs>
        <w:ind w:left="2505" w:hanging="1800"/>
      </w:pPr>
      <w:rPr>
        <w:rFonts w:cs="Times New Roman" w:hint="default"/>
      </w:rPr>
    </w:lvl>
  </w:abstractNum>
  <w:num w:numId="1">
    <w:abstractNumId w:val="6"/>
  </w:num>
  <w:num w:numId="2">
    <w:abstractNumId w:val="5"/>
  </w:num>
  <w:num w:numId="3">
    <w:abstractNumId w:val="3"/>
  </w:num>
  <w:num w:numId="4">
    <w:abstractNumId w:val="4"/>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01C4"/>
    <w:rsid w:val="00003B6A"/>
    <w:rsid w:val="00012796"/>
    <w:rsid w:val="00030854"/>
    <w:rsid w:val="00042426"/>
    <w:rsid w:val="00050343"/>
    <w:rsid w:val="00060FA3"/>
    <w:rsid w:val="000627BC"/>
    <w:rsid w:val="000A165C"/>
    <w:rsid w:val="000B672F"/>
    <w:rsid w:val="000D48EC"/>
    <w:rsid w:val="000D5AC1"/>
    <w:rsid w:val="000E29AF"/>
    <w:rsid w:val="000F43CC"/>
    <w:rsid w:val="0011333F"/>
    <w:rsid w:val="00115077"/>
    <w:rsid w:val="00117A15"/>
    <w:rsid w:val="00121D7E"/>
    <w:rsid w:val="00122D6F"/>
    <w:rsid w:val="00140248"/>
    <w:rsid w:val="00141D94"/>
    <w:rsid w:val="00151ECC"/>
    <w:rsid w:val="0016102F"/>
    <w:rsid w:val="001706FF"/>
    <w:rsid w:val="00180AFE"/>
    <w:rsid w:val="00190DCC"/>
    <w:rsid w:val="001A0101"/>
    <w:rsid w:val="001A04F2"/>
    <w:rsid w:val="001A3F30"/>
    <w:rsid w:val="001B5F36"/>
    <w:rsid w:val="001D01C4"/>
    <w:rsid w:val="001D2916"/>
    <w:rsid w:val="001D4BD6"/>
    <w:rsid w:val="001E314B"/>
    <w:rsid w:val="001E347A"/>
    <w:rsid w:val="001E48E1"/>
    <w:rsid w:val="001F3986"/>
    <w:rsid w:val="0020525C"/>
    <w:rsid w:val="00220698"/>
    <w:rsid w:val="00224043"/>
    <w:rsid w:val="00241492"/>
    <w:rsid w:val="0024203D"/>
    <w:rsid w:val="00246397"/>
    <w:rsid w:val="002525F0"/>
    <w:rsid w:val="00266D44"/>
    <w:rsid w:val="00285024"/>
    <w:rsid w:val="002A1109"/>
    <w:rsid w:val="002B70FF"/>
    <w:rsid w:val="002C0203"/>
    <w:rsid w:val="002C47A4"/>
    <w:rsid w:val="002D0F57"/>
    <w:rsid w:val="002D690E"/>
    <w:rsid w:val="0031469C"/>
    <w:rsid w:val="00314EF7"/>
    <w:rsid w:val="00321769"/>
    <w:rsid w:val="00336123"/>
    <w:rsid w:val="00337034"/>
    <w:rsid w:val="0035495B"/>
    <w:rsid w:val="00357F67"/>
    <w:rsid w:val="00362055"/>
    <w:rsid w:val="00364D55"/>
    <w:rsid w:val="00365349"/>
    <w:rsid w:val="00384625"/>
    <w:rsid w:val="003879E3"/>
    <w:rsid w:val="00391202"/>
    <w:rsid w:val="00395EBB"/>
    <w:rsid w:val="003A13EE"/>
    <w:rsid w:val="003B76C6"/>
    <w:rsid w:val="003C6154"/>
    <w:rsid w:val="003C66A2"/>
    <w:rsid w:val="003C69D2"/>
    <w:rsid w:val="003C7340"/>
    <w:rsid w:val="003D3AD1"/>
    <w:rsid w:val="003D760B"/>
    <w:rsid w:val="003E498B"/>
    <w:rsid w:val="003E59F8"/>
    <w:rsid w:val="00442DC4"/>
    <w:rsid w:val="004438E6"/>
    <w:rsid w:val="00447B62"/>
    <w:rsid w:val="00453EB2"/>
    <w:rsid w:val="00454113"/>
    <w:rsid w:val="00482354"/>
    <w:rsid w:val="00484C8C"/>
    <w:rsid w:val="0048749F"/>
    <w:rsid w:val="00493023"/>
    <w:rsid w:val="00494D0A"/>
    <w:rsid w:val="0049504C"/>
    <w:rsid w:val="004D3D5B"/>
    <w:rsid w:val="004E39F7"/>
    <w:rsid w:val="004F0D4C"/>
    <w:rsid w:val="004F7220"/>
    <w:rsid w:val="00516CF5"/>
    <w:rsid w:val="005329E5"/>
    <w:rsid w:val="005335D4"/>
    <w:rsid w:val="00535699"/>
    <w:rsid w:val="0053651F"/>
    <w:rsid w:val="00540E2D"/>
    <w:rsid w:val="00544D59"/>
    <w:rsid w:val="00545901"/>
    <w:rsid w:val="00552A57"/>
    <w:rsid w:val="00563455"/>
    <w:rsid w:val="00563A47"/>
    <w:rsid w:val="00563BDD"/>
    <w:rsid w:val="0056423F"/>
    <w:rsid w:val="0057238F"/>
    <w:rsid w:val="0058550B"/>
    <w:rsid w:val="00586697"/>
    <w:rsid w:val="00587658"/>
    <w:rsid w:val="00591598"/>
    <w:rsid w:val="005934E3"/>
    <w:rsid w:val="00593E35"/>
    <w:rsid w:val="005956AC"/>
    <w:rsid w:val="00595FB1"/>
    <w:rsid w:val="005A4BC0"/>
    <w:rsid w:val="005B3BDB"/>
    <w:rsid w:val="005B61D4"/>
    <w:rsid w:val="005C0D0A"/>
    <w:rsid w:val="005D09A9"/>
    <w:rsid w:val="005D2FF7"/>
    <w:rsid w:val="005F16E0"/>
    <w:rsid w:val="005F33F8"/>
    <w:rsid w:val="00602820"/>
    <w:rsid w:val="0060789C"/>
    <w:rsid w:val="006217F1"/>
    <w:rsid w:val="006261D1"/>
    <w:rsid w:val="006419E3"/>
    <w:rsid w:val="006524FC"/>
    <w:rsid w:val="00667F4D"/>
    <w:rsid w:val="00680531"/>
    <w:rsid w:val="00681532"/>
    <w:rsid w:val="00682B21"/>
    <w:rsid w:val="006A4B57"/>
    <w:rsid w:val="006B1487"/>
    <w:rsid w:val="006D2BC5"/>
    <w:rsid w:val="006D544A"/>
    <w:rsid w:val="006E5E58"/>
    <w:rsid w:val="006E6C8E"/>
    <w:rsid w:val="006F2A13"/>
    <w:rsid w:val="006F78EB"/>
    <w:rsid w:val="007065BE"/>
    <w:rsid w:val="007078FC"/>
    <w:rsid w:val="00714A62"/>
    <w:rsid w:val="007244CE"/>
    <w:rsid w:val="00735B68"/>
    <w:rsid w:val="007469F1"/>
    <w:rsid w:val="00763677"/>
    <w:rsid w:val="00782A39"/>
    <w:rsid w:val="007947FE"/>
    <w:rsid w:val="007A7CB5"/>
    <w:rsid w:val="007B58FB"/>
    <w:rsid w:val="007B73ED"/>
    <w:rsid w:val="007C531F"/>
    <w:rsid w:val="007D2F94"/>
    <w:rsid w:val="007D39AD"/>
    <w:rsid w:val="007F0317"/>
    <w:rsid w:val="007F5B38"/>
    <w:rsid w:val="00802217"/>
    <w:rsid w:val="0080798E"/>
    <w:rsid w:val="00822D4D"/>
    <w:rsid w:val="00824650"/>
    <w:rsid w:val="00824688"/>
    <w:rsid w:val="00854398"/>
    <w:rsid w:val="00870AD0"/>
    <w:rsid w:val="0087247E"/>
    <w:rsid w:val="0087420C"/>
    <w:rsid w:val="008773BA"/>
    <w:rsid w:val="008805D0"/>
    <w:rsid w:val="008834A0"/>
    <w:rsid w:val="00887F76"/>
    <w:rsid w:val="00891C7F"/>
    <w:rsid w:val="00892251"/>
    <w:rsid w:val="00892CAA"/>
    <w:rsid w:val="00893A73"/>
    <w:rsid w:val="0089509F"/>
    <w:rsid w:val="008A3008"/>
    <w:rsid w:val="008A4A69"/>
    <w:rsid w:val="008B48AC"/>
    <w:rsid w:val="008B665E"/>
    <w:rsid w:val="008B76C6"/>
    <w:rsid w:val="008D047D"/>
    <w:rsid w:val="008E7C7C"/>
    <w:rsid w:val="00904803"/>
    <w:rsid w:val="00914B22"/>
    <w:rsid w:val="00916F72"/>
    <w:rsid w:val="00922440"/>
    <w:rsid w:val="00933F81"/>
    <w:rsid w:val="00942421"/>
    <w:rsid w:val="009619D6"/>
    <w:rsid w:val="009639FA"/>
    <w:rsid w:val="00980B05"/>
    <w:rsid w:val="00992034"/>
    <w:rsid w:val="009A5E2E"/>
    <w:rsid w:val="009D21A4"/>
    <w:rsid w:val="009D3CBF"/>
    <w:rsid w:val="009F023E"/>
    <w:rsid w:val="00A00A69"/>
    <w:rsid w:val="00A044F2"/>
    <w:rsid w:val="00A207BD"/>
    <w:rsid w:val="00A228DC"/>
    <w:rsid w:val="00A51EF6"/>
    <w:rsid w:val="00A750B7"/>
    <w:rsid w:val="00A76AD2"/>
    <w:rsid w:val="00A951D9"/>
    <w:rsid w:val="00A95254"/>
    <w:rsid w:val="00AA3704"/>
    <w:rsid w:val="00AB3928"/>
    <w:rsid w:val="00AB6104"/>
    <w:rsid w:val="00AB6456"/>
    <w:rsid w:val="00AC6C08"/>
    <w:rsid w:val="00AF267C"/>
    <w:rsid w:val="00AF72B5"/>
    <w:rsid w:val="00B10714"/>
    <w:rsid w:val="00B2453D"/>
    <w:rsid w:val="00B25D9F"/>
    <w:rsid w:val="00B337A0"/>
    <w:rsid w:val="00B3387E"/>
    <w:rsid w:val="00B35C7C"/>
    <w:rsid w:val="00B36BFF"/>
    <w:rsid w:val="00B451B8"/>
    <w:rsid w:val="00B46380"/>
    <w:rsid w:val="00B7114D"/>
    <w:rsid w:val="00B73594"/>
    <w:rsid w:val="00B77B85"/>
    <w:rsid w:val="00B85E60"/>
    <w:rsid w:val="00B86AFA"/>
    <w:rsid w:val="00B97689"/>
    <w:rsid w:val="00BA594E"/>
    <w:rsid w:val="00BB24F2"/>
    <w:rsid w:val="00BB481F"/>
    <w:rsid w:val="00BB7107"/>
    <w:rsid w:val="00BC409F"/>
    <w:rsid w:val="00BC6BBD"/>
    <w:rsid w:val="00BD6F3D"/>
    <w:rsid w:val="00BD7DC2"/>
    <w:rsid w:val="00BE0C33"/>
    <w:rsid w:val="00BE58C4"/>
    <w:rsid w:val="00BF31FB"/>
    <w:rsid w:val="00C04968"/>
    <w:rsid w:val="00C22243"/>
    <w:rsid w:val="00C24F0A"/>
    <w:rsid w:val="00C349A0"/>
    <w:rsid w:val="00C64388"/>
    <w:rsid w:val="00C74D61"/>
    <w:rsid w:val="00C84657"/>
    <w:rsid w:val="00C93183"/>
    <w:rsid w:val="00C96165"/>
    <w:rsid w:val="00CA085A"/>
    <w:rsid w:val="00CB309C"/>
    <w:rsid w:val="00CC02B4"/>
    <w:rsid w:val="00CC0FAA"/>
    <w:rsid w:val="00CC5A6F"/>
    <w:rsid w:val="00CD05CD"/>
    <w:rsid w:val="00CE1A3E"/>
    <w:rsid w:val="00CF5495"/>
    <w:rsid w:val="00D03D27"/>
    <w:rsid w:val="00D049FB"/>
    <w:rsid w:val="00D05F35"/>
    <w:rsid w:val="00D13A7B"/>
    <w:rsid w:val="00D169A9"/>
    <w:rsid w:val="00D20557"/>
    <w:rsid w:val="00D25F81"/>
    <w:rsid w:val="00D32036"/>
    <w:rsid w:val="00D4074E"/>
    <w:rsid w:val="00D4144C"/>
    <w:rsid w:val="00D44378"/>
    <w:rsid w:val="00D45C3C"/>
    <w:rsid w:val="00D54E66"/>
    <w:rsid w:val="00D561AE"/>
    <w:rsid w:val="00D67CAC"/>
    <w:rsid w:val="00D90137"/>
    <w:rsid w:val="00D92D1F"/>
    <w:rsid w:val="00DC18D2"/>
    <w:rsid w:val="00DC4BFB"/>
    <w:rsid w:val="00DE0613"/>
    <w:rsid w:val="00DE2B80"/>
    <w:rsid w:val="00DE45FE"/>
    <w:rsid w:val="00DE4669"/>
    <w:rsid w:val="00DF0873"/>
    <w:rsid w:val="00DF24CF"/>
    <w:rsid w:val="00E04922"/>
    <w:rsid w:val="00E17D04"/>
    <w:rsid w:val="00E20560"/>
    <w:rsid w:val="00E34240"/>
    <w:rsid w:val="00E406A2"/>
    <w:rsid w:val="00E47017"/>
    <w:rsid w:val="00E52D3C"/>
    <w:rsid w:val="00E6101E"/>
    <w:rsid w:val="00E6429E"/>
    <w:rsid w:val="00E779AB"/>
    <w:rsid w:val="00E93097"/>
    <w:rsid w:val="00EB4652"/>
    <w:rsid w:val="00EC286D"/>
    <w:rsid w:val="00EC7C59"/>
    <w:rsid w:val="00ED1459"/>
    <w:rsid w:val="00EE79CD"/>
    <w:rsid w:val="00EF5040"/>
    <w:rsid w:val="00EF6CEE"/>
    <w:rsid w:val="00F008FD"/>
    <w:rsid w:val="00F02432"/>
    <w:rsid w:val="00F1687D"/>
    <w:rsid w:val="00F172A1"/>
    <w:rsid w:val="00F309AC"/>
    <w:rsid w:val="00F36E85"/>
    <w:rsid w:val="00F564AA"/>
    <w:rsid w:val="00F57BEA"/>
    <w:rsid w:val="00F666C0"/>
    <w:rsid w:val="00F80C05"/>
    <w:rsid w:val="00F8392D"/>
    <w:rsid w:val="00F83DFA"/>
    <w:rsid w:val="00F91E34"/>
    <w:rsid w:val="00FB7436"/>
    <w:rsid w:val="00FC0308"/>
    <w:rsid w:val="00FC2CF7"/>
    <w:rsid w:val="00FD49C9"/>
    <w:rsid w:val="00FE022C"/>
    <w:rsid w:val="00FF58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1C4"/>
    <w:rPr>
      <w:sz w:val="24"/>
      <w:szCs w:val="24"/>
    </w:rPr>
  </w:style>
  <w:style w:type="paragraph" w:styleId="Heading1">
    <w:name w:val="heading 1"/>
    <w:basedOn w:val="Normal"/>
    <w:next w:val="Normal"/>
    <w:link w:val="Heading1Char"/>
    <w:uiPriority w:val="99"/>
    <w:qFormat/>
    <w:rsid w:val="001D01C4"/>
    <w:pPr>
      <w:keepNext/>
      <w:jc w:val="center"/>
      <w:outlineLvl w:val="0"/>
    </w:pPr>
    <w:rPr>
      <w:rFonts w:ascii="Bookman Old Style" w:hAnsi="Bookman Old Style"/>
      <w:b/>
      <w:bCs/>
      <w:sz w:val="28"/>
      <w:szCs w:val="20"/>
      <w:lang w:val="uk-UA"/>
    </w:rPr>
  </w:style>
  <w:style w:type="paragraph" w:styleId="Heading2">
    <w:name w:val="heading 2"/>
    <w:basedOn w:val="Normal"/>
    <w:next w:val="Normal"/>
    <w:link w:val="Heading2Char"/>
    <w:uiPriority w:val="99"/>
    <w:qFormat/>
    <w:rsid w:val="001D01C4"/>
    <w:pPr>
      <w:keepNext/>
      <w:outlineLvl w:val="1"/>
    </w:pPr>
    <w:rPr>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258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E2585"/>
    <w:rPr>
      <w:rFonts w:asciiTheme="majorHAnsi" w:eastAsiaTheme="majorEastAsia" w:hAnsiTheme="majorHAnsi" w:cstheme="majorBidi"/>
      <w:b/>
      <w:bCs/>
      <w:i/>
      <w:iCs/>
      <w:sz w:val="28"/>
      <w:szCs w:val="28"/>
    </w:rPr>
  </w:style>
  <w:style w:type="character" w:customStyle="1" w:styleId="2">
    <w:name w:val="Основний текст (2)_"/>
    <w:link w:val="21"/>
    <w:uiPriority w:val="99"/>
    <w:locked/>
    <w:rsid w:val="001D01C4"/>
    <w:rPr>
      <w:sz w:val="26"/>
      <w:shd w:val="clear" w:color="auto" w:fill="FFFFFF"/>
    </w:rPr>
  </w:style>
  <w:style w:type="paragraph" w:customStyle="1" w:styleId="21">
    <w:name w:val="Основний текст (2)1"/>
    <w:basedOn w:val="Normal"/>
    <w:link w:val="2"/>
    <w:uiPriority w:val="99"/>
    <w:rsid w:val="001D01C4"/>
    <w:pPr>
      <w:widowControl w:val="0"/>
      <w:shd w:val="clear" w:color="auto" w:fill="FFFFFF"/>
      <w:spacing w:after="360" w:line="341" w:lineRule="exact"/>
      <w:jc w:val="center"/>
    </w:pPr>
    <w:rPr>
      <w:sz w:val="26"/>
      <w:szCs w:val="26"/>
      <w:shd w:val="clear" w:color="auto" w:fill="FFFFFF"/>
    </w:rPr>
  </w:style>
  <w:style w:type="character" w:styleId="Hyperlink">
    <w:name w:val="Hyperlink"/>
    <w:basedOn w:val="DefaultParagraphFont"/>
    <w:uiPriority w:val="99"/>
    <w:rsid w:val="00802217"/>
    <w:rPr>
      <w:rFonts w:cs="Times New Roman"/>
      <w:color w:val="0000FF"/>
      <w:u w:val="single"/>
    </w:rPr>
  </w:style>
  <w:style w:type="table" w:styleId="TableGrid">
    <w:name w:val="Table Grid"/>
    <w:basedOn w:val="TableNormal"/>
    <w:uiPriority w:val="99"/>
    <w:rsid w:val="00AB39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AB3928"/>
    <w:rPr>
      <w:rFonts w:cs="Times New Roman"/>
    </w:rPr>
  </w:style>
  <w:style w:type="paragraph" w:styleId="Header">
    <w:name w:val="header"/>
    <w:basedOn w:val="Normal"/>
    <w:link w:val="HeaderChar"/>
    <w:uiPriority w:val="99"/>
    <w:rsid w:val="00887F76"/>
    <w:pPr>
      <w:tabs>
        <w:tab w:val="center" w:pos="4677"/>
        <w:tab w:val="right" w:pos="9355"/>
      </w:tabs>
    </w:pPr>
  </w:style>
  <w:style w:type="character" w:customStyle="1" w:styleId="HeaderChar">
    <w:name w:val="Header Char"/>
    <w:basedOn w:val="DefaultParagraphFont"/>
    <w:link w:val="Header"/>
    <w:uiPriority w:val="99"/>
    <w:semiHidden/>
    <w:rsid w:val="000E2585"/>
    <w:rPr>
      <w:sz w:val="24"/>
      <w:szCs w:val="24"/>
    </w:rPr>
  </w:style>
  <w:style w:type="paragraph" w:styleId="BalloonText">
    <w:name w:val="Balloon Text"/>
    <w:basedOn w:val="Normal"/>
    <w:link w:val="BalloonTextChar"/>
    <w:uiPriority w:val="99"/>
    <w:rsid w:val="00266D44"/>
    <w:rPr>
      <w:rFonts w:ascii="Segoe UI" w:hAnsi="Segoe UI"/>
      <w:sz w:val="18"/>
      <w:szCs w:val="18"/>
    </w:rPr>
  </w:style>
  <w:style w:type="character" w:customStyle="1" w:styleId="BalloonTextChar">
    <w:name w:val="Balloon Text Char"/>
    <w:basedOn w:val="DefaultParagraphFont"/>
    <w:link w:val="BalloonText"/>
    <w:uiPriority w:val="99"/>
    <w:locked/>
    <w:rsid w:val="00266D44"/>
    <w:rPr>
      <w:rFonts w:ascii="Segoe UI" w:hAnsi="Segoe UI"/>
      <w:sz w:val="18"/>
      <w:lang w:val="ru-RU" w:eastAsia="ru-RU"/>
    </w:rPr>
  </w:style>
  <w:style w:type="paragraph" w:styleId="ListParagraph">
    <w:name w:val="List Paragraph"/>
    <w:basedOn w:val="Normal"/>
    <w:uiPriority w:val="99"/>
    <w:qFormat/>
    <w:rsid w:val="00454113"/>
    <w:pPr>
      <w:ind w:left="720"/>
      <w:contextualSpacing/>
    </w:pPr>
  </w:style>
  <w:style w:type="character" w:customStyle="1" w:styleId="s21">
    <w:name w:val="s21"/>
    <w:basedOn w:val="DefaultParagraphFont"/>
    <w:uiPriority w:val="99"/>
    <w:rsid w:val="003B76C6"/>
    <w:rPr>
      <w:rFonts w:cs="Times New Roman"/>
    </w:rPr>
  </w:style>
  <w:style w:type="character" w:customStyle="1" w:styleId="apple-converted-space">
    <w:name w:val="apple-converted-space"/>
    <w:basedOn w:val="DefaultParagraphFont"/>
    <w:uiPriority w:val="99"/>
    <w:rsid w:val="003B76C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10</Pages>
  <Words>4653</Words>
  <Characters>26528</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Валя</dc:creator>
  <cp:keywords/>
  <dc:description/>
  <cp:lastModifiedBy>Валя</cp:lastModifiedBy>
  <cp:revision>3</cp:revision>
  <cp:lastPrinted>2024-08-01T07:57:00Z</cp:lastPrinted>
  <dcterms:created xsi:type="dcterms:W3CDTF">2024-07-30T14:50:00Z</dcterms:created>
  <dcterms:modified xsi:type="dcterms:W3CDTF">2024-08-01T07:58:00Z</dcterms:modified>
</cp:coreProperties>
</file>